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255D" w14:textId="77777777" w:rsidR="00EA731E" w:rsidRDefault="00EA731E" w:rsidP="00EA731E">
      <w:pPr>
        <w:rPr>
          <w:b/>
        </w:rPr>
      </w:pPr>
    </w:p>
    <w:p w14:paraId="094A1188" w14:textId="77777777" w:rsidR="00EA731E" w:rsidRDefault="00EA731E" w:rsidP="00EA731E">
      <w:pPr>
        <w:rPr>
          <w:b/>
        </w:rPr>
      </w:pPr>
    </w:p>
    <w:p w14:paraId="07A00F9F" w14:textId="77777777" w:rsidR="00EA731E" w:rsidRDefault="00EA731E" w:rsidP="00EA731E">
      <w:pPr>
        <w:rPr>
          <w:b/>
        </w:rPr>
      </w:pPr>
    </w:p>
    <w:p w14:paraId="3E29308E" w14:textId="27B3D464" w:rsidR="00EA731E" w:rsidRDefault="00251DA6" w:rsidP="00251DA6">
      <w:pPr>
        <w:jc w:val="center"/>
        <w:rPr>
          <w:b/>
        </w:rPr>
      </w:pPr>
      <w:r>
        <w:rPr>
          <w:noProof/>
        </w:rPr>
        <w:drawing>
          <wp:inline distT="0" distB="0" distL="0" distR="0" wp14:anchorId="7612AE6E" wp14:editId="49C86412">
            <wp:extent cx="1466850" cy="20002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2000250"/>
                    </a:xfrm>
                    <a:prstGeom prst="rect">
                      <a:avLst/>
                    </a:prstGeom>
                    <a:noFill/>
                    <a:ln>
                      <a:noFill/>
                    </a:ln>
                  </pic:spPr>
                </pic:pic>
              </a:graphicData>
            </a:graphic>
          </wp:inline>
        </w:drawing>
      </w:r>
    </w:p>
    <w:p w14:paraId="0C302B4B" w14:textId="77777777" w:rsidR="00EA731E" w:rsidRDefault="00EA731E" w:rsidP="00EA731E">
      <w:pPr>
        <w:rPr>
          <w:b/>
        </w:rPr>
      </w:pPr>
    </w:p>
    <w:p w14:paraId="4D6CD848" w14:textId="63B21447" w:rsidR="00EA731E" w:rsidRDefault="00EA731E" w:rsidP="00EA731E">
      <w:pPr>
        <w:rPr>
          <w:b/>
        </w:rPr>
      </w:pPr>
    </w:p>
    <w:p w14:paraId="41C0C4A1" w14:textId="77777777" w:rsidR="00EA731E" w:rsidRDefault="00EA731E" w:rsidP="00EA731E">
      <w:pPr>
        <w:rPr>
          <w:b/>
        </w:rPr>
      </w:pPr>
    </w:p>
    <w:p w14:paraId="10D67C8B" w14:textId="77777777" w:rsidR="00EA731E" w:rsidRDefault="00EA731E" w:rsidP="00EA731E">
      <w:pPr>
        <w:rPr>
          <w:b/>
        </w:rPr>
      </w:pPr>
    </w:p>
    <w:p w14:paraId="07DEB7CE" w14:textId="38E7CF9A" w:rsidR="00EA731E" w:rsidRDefault="00EA731E" w:rsidP="00EA731E">
      <w:pPr>
        <w:jc w:val="center"/>
        <w:rPr>
          <w:b/>
          <w:sz w:val="36"/>
          <w:szCs w:val="36"/>
        </w:rPr>
      </w:pPr>
      <w:r w:rsidRPr="00AF0F1F">
        <w:rPr>
          <w:b/>
          <w:sz w:val="44"/>
          <w:szCs w:val="44"/>
        </w:rPr>
        <w:t>Limited English Proficiency Plan</w:t>
      </w:r>
    </w:p>
    <w:p w14:paraId="30142787" w14:textId="544B5728" w:rsidR="00251DA6" w:rsidRDefault="00251DA6" w:rsidP="00EA731E">
      <w:pPr>
        <w:jc w:val="center"/>
        <w:rPr>
          <w:b/>
          <w:sz w:val="36"/>
          <w:szCs w:val="36"/>
        </w:rPr>
      </w:pPr>
    </w:p>
    <w:p w14:paraId="695B8859" w14:textId="778AB0F8" w:rsidR="00AF0F1F" w:rsidRDefault="00AF0F1F" w:rsidP="00EA731E">
      <w:pPr>
        <w:jc w:val="center"/>
        <w:rPr>
          <w:b/>
          <w:sz w:val="36"/>
          <w:szCs w:val="36"/>
        </w:rPr>
      </w:pPr>
    </w:p>
    <w:p w14:paraId="1EB416DA" w14:textId="05FE110E" w:rsidR="00AF0F1F" w:rsidRDefault="00AF0F1F" w:rsidP="00EA731E">
      <w:pPr>
        <w:jc w:val="center"/>
        <w:rPr>
          <w:b/>
          <w:sz w:val="36"/>
          <w:szCs w:val="36"/>
        </w:rPr>
      </w:pPr>
      <w:r>
        <w:rPr>
          <w:b/>
          <w:sz w:val="36"/>
          <w:szCs w:val="36"/>
        </w:rPr>
        <w:t xml:space="preserve">Marion County Board of Commissioners </w:t>
      </w:r>
    </w:p>
    <w:p w14:paraId="198EE9DA" w14:textId="1AAE19C7" w:rsidR="00251DA6" w:rsidRDefault="00251DA6" w:rsidP="00EA731E">
      <w:pPr>
        <w:jc w:val="center"/>
        <w:rPr>
          <w:b/>
          <w:sz w:val="36"/>
          <w:szCs w:val="36"/>
        </w:rPr>
      </w:pPr>
    </w:p>
    <w:p w14:paraId="241FA902" w14:textId="6DA370AA" w:rsidR="00251DA6" w:rsidRDefault="00251DA6" w:rsidP="00EA731E">
      <w:pPr>
        <w:jc w:val="center"/>
        <w:rPr>
          <w:b/>
          <w:sz w:val="36"/>
          <w:szCs w:val="36"/>
        </w:rPr>
      </w:pPr>
    </w:p>
    <w:p w14:paraId="322619C7" w14:textId="34F2FD2E" w:rsidR="00251DA6" w:rsidRDefault="00251DA6" w:rsidP="00EA731E">
      <w:pPr>
        <w:jc w:val="center"/>
        <w:rPr>
          <w:noProof/>
        </w:rPr>
      </w:pPr>
    </w:p>
    <w:p w14:paraId="68E7AA52" w14:textId="0CD840DC" w:rsidR="00AF0F1F" w:rsidRDefault="00AF0F1F" w:rsidP="00EA731E">
      <w:pPr>
        <w:jc w:val="center"/>
        <w:rPr>
          <w:noProof/>
        </w:rPr>
      </w:pPr>
    </w:p>
    <w:p w14:paraId="5F3CF48A" w14:textId="407E29F3" w:rsidR="00AF0F1F" w:rsidRDefault="00AF0F1F" w:rsidP="00EA731E">
      <w:pPr>
        <w:jc w:val="center"/>
        <w:rPr>
          <w:noProof/>
        </w:rPr>
      </w:pPr>
    </w:p>
    <w:p w14:paraId="431C249F" w14:textId="4277C962" w:rsidR="00AF0F1F" w:rsidRDefault="00AF0F1F" w:rsidP="00EA731E">
      <w:pPr>
        <w:jc w:val="center"/>
        <w:rPr>
          <w:noProof/>
        </w:rPr>
      </w:pPr>
      <w:r>
        <w:rPr>
          <w:noProof/>
        </w:rPr>
        <w:drawing>
          <wp:inline distT="0" distB="0" distL="0" distR="0" wp14:anchorId="5217599C" wp14:editId="6DBF05B8">
            <wp:extent cx="3530600" cy="2353733"/>
            <wp:effectExtent l="0" t="0" r="0"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8988" cy="2359325"/>
                    </a:xfrm>
                    <a:prstGeom prst="rect">
                      <a:avLst/>
                    </a:prstGeom>
                    <a:noFill/>
                    <a:ln>
                      <a:noFill/>
                    </a:ln>
                  </pic:spPr>
                </pic:pic>
              </a:graphicData>
            </a:graphic>
          </wp:inline>
        </w:drawing>
      </w:r>
    </w:p>
    <w:p w14:paraId="3C2D29FD" w14:textId="2BB0AD06" w:rsidR="00AF0F1F" w:rsidRDefault="00AF0F1F" w:rsidP="00EA731E">
      <w:pPr>
        <w:jc w:val="center"/>
        <w:rPr>
          <w:noProof/>
        </w:rPr>
      </w:pPr>
    </w:p>
    <w:p w14:paraId="5B54A650" w14:textId="77777777" w:rsidR="00AF0F1F" w:rsidRDefault="00AF0F1F" w:rsidP="00EA731E">
      <w:pPr>
        <w:rPr>
          <w:noProof/>
        </w:rPr>
      </w:pPr>
    </w:p>
    <w:p w14:paraId="15FE4DB2" w14:textId="57F75F35" w:rsidR="00AF0F1F" w:rsidRDefault="00EA731E" w:rsidP="00AF0F1F">
      <w:r w:rsidRPr="00FE193C">
        <w:rPr>
          <w:b/>
        </w:rPr>
        <w:lastRenderedPageBreak/>
        <w:t>DEFINITIONS:</w:t>
      </w:r>
      <w:r>
        <w:t xml:space="preserve"> </w:t>
      </w:r>
      <w:r>
        <w:tab/>
      </w:r>
    </w:p>
    <w:p w14:paraId="480C6146" w14:textId="77777777" w:rsidR="00AF0F1F" w:rsidRDefault="00AF0F1F" w:rsidP="00AF0F1F"/>
    <w:p w14:paraId="2585B5FB" w14:textId="77777777" w:rsidR="00AF0F1F" w:rsidRDefault="00EA731E" w:rsidP="00AF0F1F">
      <w:pPr>
        <w:pStyle w:val="ListParagraph"/>
        <w:numPr>
          <w:ilvl w:val="0"/>
          <w:numId w:val="5"/>
        </w:numPr>
      </w:pPr>
      <w:r w:rsidRPr="002E08FF">
        <w:t>Authorized Interpreter:</w:t>
      </w:r>
      <w:r w:rsidRPr="00915615">
        <w:t xml:space="preserve">  A person who has been screened and authorized by the county to act as an interpreter and/or translator for others.</w:t>
      </w:r>
    </w:p>
    <w:p w14:paraId="2CACC946" w14:textId="77777777" w:rsidR="00AF0F1F" w:rsidRDefault="00AF0F1F" w:rsidP="00AF0F1F"/>
    <w:p w14:paraId="0AE9EDC4" w14:textId="77777777" w:rsidR="00AF0F1F" w:rsidRDefault="00EA731E" w:rsidP="00AF0F1F">
      <w:pPr>
        <w:pStyle w:val="ListParagraph"/>
        <w:numPr>
          <w:ilvl w:val="0"/>
          <w:numId w:val="5"/>
        </w:numPr>
      </w:pPr>
      <w:r w:rsidRPr="002E08FF">
        <w:t>Four-Factor Assessment</w:t>
      </w:r>
      <w:r>
        <w:t>:</w:t>
      </w:r>
      <w:r w:rsidRPr="00915615">
        <w:t xml:space="preserve"> This is an assessment tool used by the Recipient of federal funding to determine the extent of its obligation to provide LEP services. These four factors are: (1) The number or proportion of LEP persons eligible to be served or likely to be encountered by the program or grantee; (2) the frequency with which LEP persons </w:t>
      </w:r>
      <w:r w:rsidR="00251DA6" w:rsidRPr="00915615">
        <w:t>encounter</w:t>
      </w:r>
      <w:r w:rsidRPr="00915615">
        <w:t xml:space="preserve"> the program; (3) the nature and importance of the program, activity, or service provided the program to people’s lives; and (4) the resources available to the grantee/recipient and costs.</w:t>
      </w:r>
    </w:p>
    <w:p w14:paraId="5169333F" w14:textId="77777777" w:rsidR="00AF0F1F" w:rsidRDefault="00AF0F1F" w:rsidP="00AF0F1F"/>
    <w:p w14:paraId="345FD90A" w14:textId="77777777" w:rsidR="00AF0F1F" w:rsidRDefault="00EA731E" w:rsidP="00AF0F1F">
      <w:pPr>
        <w:pStyle w:val="ListParagraph"/>
        <w:numPr>
          <w:ilvl w:val="0"/>
          <w:numId w:val="5"/>
        </w:numPr>
      </w:pPr>
      <w:r w:rsidRPr="002E08FF">
        <w:t>Interpret or Interpretation:</w:t>
      </w:r>
      <w:r w:rsidRPr="00915615">
        <w:t xml:space="preserve"> The act of listening to a communication in one language (source language) and orally converting it to another language (target language), while retaining the same meaning.</w:t>
      </w:r>
    </w:p>
    <w:p w14:paraId="58B71880" w14:textId="77777777" w:rsidR="00AF0F1F" w:rsidRDefault="00AF0F1F" w:rsidP="00AF0F1F"/>
    <w:p w14:paraId="24822F0E" w14:textId="77777777" w:rsidR="00AF0F1F" w:rsidRDefault="00EA731E" w:rsidP="00AF0F1F">
      <w:pPr>
        <w:pStyle w:val="ListParagraph"/>
        <w:numPr>
          <w:ilvl w:val="0"/>
          <w:numId w:val="5"/>
        </w:numPr>
      </w:pPr>
      <w:r w:rsidRPr="002E08FF">
        <w:t>(Person with) Limited English Proficiency (LEP):</w:t>
      </w:r>
      <w:r w:rsidRPr="00915615">
        <w:t xml:space="preserve"> Any individual whose primary language is not English and has a limited ability to read, write, speak, or understand English. These individuals may be competent in certain types of communication (e.g., speaking or understanding) but still be LEP for other purposes (e.g., reading or writing). Similarly, LEP designations are context-specific; an individual may possess sufficient English language skills to function in one setting, but these skills may be insufficient in other situations.</w:t>
      </w:r>
    </w:p>
    <w:p w14:paraId="79BFE877" w14:textId="77777777" w:rsidR="00AF0F1F" w:rsidRDefault="00AF0F1F" w:rsidP="00AF0F1F"/>
    <w:p w14:paraId="69AB15FE" w14:textId="77777777" w:rsidR="00AF0F1F" w:rsidRDefault="00EA731E" w:rsidP="00AF0F1F">
      <w:pPr>
        <w:pStyle w:val="ListParagraph"/>
        <w:numPr>
          <w:ilvl w:val="0"/>
          <w:numId w:val="5"/>
        </w:numPr>
      </w:pPr>
      <w:r w:rsidRPr="002E08FF">
        <w:t>Translate or Translation:</w:t>
      </w:r>
      <w:r w:rsidRPr="00915615">
        <w:t xml:space="preserve"> The replacement of written text from one language (source language) into an equivalent written text (target language). Note: Some LEP persons cannot read in their own language</w:t>
      </w:r>
      <w:r>
        <w:t>,</w:t>
      </w:r>
      <w:r w:rsidRPr="00915615">
        <w:t xml:space="preserve"> and backup oral interpretation services may be needed for written documents.</w:t>
      </w:r>
    </w:p>
    <w:p w14:paraId="0150AD76" w14:textId="77777777" w:rsidR="00AF0F1F" w:rsidRDefault="00AF0F1F" w:rsidP="00AF0F1F"/>
    <w:p w14:paraId="3A1EEDED" w14:textId="43F12273" w:rsidR="00EA731E" w:rsidRDefault="00EA731E" w:rsidP="00AF0F1F">
      <w:pPr>
        <w:pStyle w:val="ListParagraph"/>
        <w:numPr>
          <w:ilvl w:val="0"/>
          <w:numId w:val="5"/>
        </w:numPr>
      </w:pPr>
      <w:r w:rsidRPr="002E08FF">
        <w:t>Vital document</w:t>
      </w:r>
      <w:r>
        <w:t>:</w:t>
      </w:r>
      <w:r w:rsidRPr="00915615">
        <w:t xml:space="preserve"> Any document </w:t>
      </w:r>
      <w:r>
        <w:t>containing</w:t>
      </w:r>
      <w:r w:rsidRPr="00915615">
        <w:t xml:space="preserve"> information that is critical for obtaining or maintaining the services or benefits that are supported by federal funds or that are required by law. Such documents may include but are not limited to applications, consent forms, notices of participant rights and responsibilities, disciplinary notices, </w:t>
      </w:r>
      <w:r w:rsidR="00AF0F1F" w:rsidRPr="00915615">
        <w:t>letters,</w:t>
      </w:r>
      <w:r w:rsidRPr="00915615">
        <w:t xml:space="preserve"> or notices that require a response from the participant or beneficiary, legal notices, and notices advising LEP persons of the availability of free language services</w:t>
      </w:r>
    </w:p>
    <w:p w14:paraId="4F9A76F0" w14:textId="77777777" w:rsidR="00EA731E" w:rsidRDefault="00EA731E" w:rsidP="00AF0F1F">
      <w:pPr>
        <w:ind w:left="720" w:hanging="720"/>
        <w:jc w:val="both"/>
      </w:pPr>
    </w:p>
    <w:p w14:paraId="73D1A6DB" w14:textId="77777777" w:rsidR="00EA731E" w:rsidRPr="00FE193C" w:rsidRDefault="00EA731E" w:rsidP="00AF0F1F">
      <w:pPr>
        <w:ind w:left="720" w:hanging="720"/>
        <w:jc w:val="both"/>
        <w:rPr>
          <w:b/>
        </w:rPr>
      </w:pPr>
      <w:r w:rsidRPr="00FE193C">
        <w:rPr>
          <w:b/>
        </w:rPr>
        <w:t>POLICY GUIDELINES:</w:t>
      </w:r>
      <w:r w:rsidRPr="00FE193C">
        <w:rPr>
          <w:b/>
        </w:rPr>
        <w:tab/>
      </w:r>
    </w:p>
    <w:p w14:paraId="4CFB1F50" w14:textId="77777777" w:rsidR="00EA731E" w:rsidRDefault="00EA731E" w:rsidP="00AF0F1F">
      <w:pPr>
        <w:ind w:hanging="720"/>
        <w:jc w:val="both"/>
      </w:pPr>
    </w:p>
    <w:p w14:paraId="58ED0E5D" w14:textId="77777777" w:rsidR="00EA731E" w:rsidRDefault="00EA731E" w:rsidP="00AF0F1F">
      <w:pPr>
        <w:ind w:left="720" w:hanging="720"/>
        <w:jc w:val="both"/>
        <w:rPr>
          <w:u w:val="single"/>
        </w:rPr>
      </w:pPr>
      <w:r>
        <w:t>1.</w:t>
      </w:r>
      <w:r>
        <w:tab/>
      </w:r>
      <w:r>
        <w:rPr>
          <w:u w:val="single"/>
        </w:rPr>
        <w:t>Federal Legal Authority</w:t>
      </w:r>
    </w:p>
    <w:p w14:paraId="194CD882" w14:textId="77777777" w:rsidR="00EA731E" w:rsidRDefault="00EA731E" w:rsidP="00AF0F1F">
      <w:pPr>
        <w:ind w:left="720" w:hanging="720"/>
        <w:jc w:val="both"/>
      </w:pPr>
    </w:p>
    <w:p w14:paraId="341ABB15" w14:textId="77777777" w:rsidR="00EA731E" w:rsidRDefault="00EA731E" w:rsidP="00AF0F1F">
      <w:pPr>
        <w:numPr>
          <w:ilvl w:val="1"/>
          <w:numId w:val="4"/>
        </w:numPr>
        <w:ind w:hanging="720"/>
        <w:jc w:val="both"/>
      </w:pPr>
      <w:r w:rsidRPr="00915615">
        <w:t xml:space="preserve">The U.S. Department of Housing and Urban Development’s (HUD) regulation, 24 CFR part 1, “Nondiscrimination in Federally Assisted Programs of the Department of Housing and Urban Development – Effectuation of Title VI of the Civil Rights Act of 1964”, requires all recipients of federal financing assistance from HUD to provide meaningful access to persons with limited English proficiency (LEP). </w:t>
      </w:r>
    </w:p>
    <w:p w14:paraId="0087F5E4" w14:textId="77777777" w:rsidR="00EA731E" w:rsidRDefault="00EA731E" w:rsidP="00AF0F1F">
      <w:pPr>
        <w:ind w:left="1080" w:hanging="720"/>
        <w:jc w:val="both"/>
      </w:pPr>
    </w:p>
    <w:p w14:paraId="7AF0D676" w14:textId="21048D39" w:rsidR="00EA731E" w:rsidRDefault="00EA731E" w:rsidP="00AF0F1F">
      <w:pPr>
        <w:numPr>
          <w:ilvl w:val="1"/>
          <w:numId w:val="4"/>
        </w:numPr>
        <w:ind w:hanging="720"/>
        <w:jc w:val="both"/>
      </w:pPr>
      <w:r w:rsidRPr="00915615">
        <w:t>Title VI of the Civil Right</w:t>
      </w:r>
      <w:r>
        <w:t>s</w:t>
      </w:r>
      <w:r w:rsidRPr="00915615">
        <w:t xml:space="preserve"> Act of 1964 prohibits discrimination </w:t>
      </w:r>
      <w:r w:rsidR="00251DA6" w:rsidRPr="00915615">
        <w:t>based on</w:t>
      </w:r>
      <w:r w:rsidRPr="00915615">
        <w:t xml:space="preserve"> race, color or national origin. Because language, like culture, is so closely linked to national origin, HUD’s final LEP </w:t>
      </w:r>
      <w:r w:rsidRPr="00915615">
        <w:lastRenderedPageBreak/>
        <w:t>guidance points out that “failure to ensure that LEP persons can effectively participate in, or benefit from, federally assisted programs may violate Title VI’s prohibition against national origin discrimination.”</w:t>
      </w:r>
    </w:p>
    <w:p w14:paraId="04605446" w14:textId="77777777" w:rsidR="00EA731E" w:rsidRDefault="00EA731E" w:rsidP="00AF0F1F">
      <w:pPr>
        <w:pStyle w:val="ListParagraph"/>
        <w:ind w:hanging="720"/>
        <w:jc w:val="both"/>
      </w:pPr>
    </w:p>
    <w:p w14:paraId="7E8DB38E" w14:textId="77777777" w:rsidR="00EA731E" w:rsidRDefault="00EA731E" w:rsidP="00AF0F1F">
      <w:pPr>
        <w:numPr>
          <w:ilvl w:val="1"/>
          <w:numId w:val="4"/>
        </w:numPr>
        <w:ind w:hanging="720"/>
        <w:jc w:val="both"/>
      </w:pPr>
      <w:r w:rsidRPr="00915615">
        <w:t xml:space="preserve">Pursuant to Executive Order 13166, the meaningful access requirement of the Title VI regulations and the four-factor analysis set forth in the LEP Guidance of the Federal Register (FR-4878-N-01) </w:t>
      </w:r>
      <w:r>
        <w:t>is</w:t>
      </w:r>
      <w:r w:rsidRPr="00915615">
        <w:t xml:space="preserve"> to additionally apply to programs and activities of federal agencies, including HUD</w:t>
      </w:r>
      <w:r>
        <w:t>, f</w:t>
      </w:r>
      <w:r w:rsidRPr="00915615">
        <w:t>ederal financial assistance includes grants, training, use of equipment, donations of surplus property, and other assistance.</w:t>
      </w:r>
    </w:p>
    <w:p w14:paraId="1D2E3C49" w14:textId="77777777" w:rsidR="00EA731E" w:rsidRDefault="00EA731E" w:rsidP="00AF0F1F">
      <w:pPr>
        <w:pStyle w:val="ListParagraph"/>
        <w:ind w:hanging="720"/>
        <w:jc w:val="both"/>
      </w:pPr>
    </w:p>
    <w:p w14:paraId="11CB6D00" w14:textId="77777777" w:rsidR="00EA731E" w:rsidRDefault="00EA731E" w:rsidP="00AF0F1F">
      <w:pPr>
        <w:numPr>
          <w:ilvl w:val="1"/>
          <w:numId w:val="4"/>
        </w:numPr>
        <w:ind w:hanging="720"/>
        <w:jc w:val="both"/>
      </w:pPr>
      <w:r w:rsidRPr="00915615">
        <w:t>Federally assisted recipients are required to make reasonable efforts to provide language assistance to ensure meaningful access for LEP persons to the recipient’s programs and activities. To do this, the recipient should: (1) conduct the four-factor assessment; (2) develop a language access plan (LAP); and (3) provide appropriate language assistance</w:t>
      </w:r>
      <w:r>
        <w:t xml:space="preserve">. </w:t>
      </w:r>
    </w:p>
    <w:p w14:paraId="4421607B" w14:textId="77777777" w:rsidR="00EA731E" w:rsidRDefault="00EA731E" w:rsidP="00AF0F1F">
      <w:pPr>
        <w:pStyle w:val="ListParagraph"/>
        <w:ind w:hanging="720"/>
        <w:jc w:val="both"/>
      </w:pPr>
    </w:p>
    <w:p w14:paraId="4F7F3376" w14:textId="77777777" w:rsidR="00EA731E" w:rsidRPr="00915615" w:rsidRDefault="00EA731E" w:rsidP="00AF0F1F">
      <w:pPr>
        <w:numPr>
          <w:ilvl w:val="1"/>
          <w:numId w:val="4"/>
        </w:numPr>
        <w:ind w:hanging="720"/>
        <w:jc w:val="both"/>
      </w:pPr>
      <w:r>
        <w:t>U</w:t>
      </w:r>
      <w:r w:rsidRPr="00915615">
        <w:t xml:space="preserve">nder Title VI, Executive Order 13166 and HUD’s regulations extends to a recipient’s entire program or activity, (i.e., to all parts of a recipient’s operations). </w:t>
      </w:r>
    </w:p>
    <w:p w14:paraId="5DE61B78" w14:textId="77777777" w:rsidR="00EA731E" w:rsidRDefault="00EA731E" w:rsidP="00AF0F1F">
      <w:pPr>
        <w:tabs>
          <w:tab w:val="num" w:pos="1440"/>
        </w:tabs>
        <w:ind w:left="720" w:hanging="720"/>
        <w:jc w:val="both"/>
      </w:pPr>
    </w:p>
    <w:p w14:paraId="5FB8B01F" w14:textId="77777777" w:rsidR="00EA731E" w:rsidRDefault="00EA731E" w:rsidP="00AF0F1F">
      <w:pPr>
        <w:ind w:left="720" w:hanging="720"/>
        <w:jc w:val="both"/>
      </w:pPr>
    </w:p>
    <w:p w14:paraId="4B4973D2" w14:textId="77777777" w:rsidR="00EA731E" w:rsidRDefault="00EA731E" w:rsidP="00AF0F1F">
      <w:pPr>
        <w:keepNext/>
        <w:ind w:left="720" w:hanging="720"/>
        <w:jc w:val="both"/>
      </w:pPr>
      <w:r>
        <w:t>2.</w:t>
      </w:r>
      <w:r>
        <w:tab/>
      </w:r>
      <w:r>
        <w:rPr>
          <w:u w:val="single"/>
        </w:rPr>
        <w:t>Public Involvement</w:t>
      </w:r>
      <w:r>
        <w:tab/>
      </w:r>
    </w:p>
    <w:p w14:paraId="5BED21F8" w14:textId="77777777" w:rsidR="00EA731E" w:rsidRDefault="00EA731E" w:rsidP="00AF0F1F">
      <w:pPr>
        <w:ind w:hanging="720"/>
        <w:jc w:val="both"/>
      </w:pPr>
    </w:p>
    <w:p w14:paraId="333D0967" w14:textId="77777777" w:rsidR="00EA731E" w:rsidRDefault="00EA731E" w:rsidP="00AF0F1F">
      <w:pPr>
        <w:ind w:left="1140" w:hanging="720"/>
        <w:jc w:val="both"/>
      </w:pPr>
      <w:r>
        <w:t xml:space="preserve">2.1. </w:t>
      </w:r>
      <w:r>
        <w:tab/>
        <w:t xml:space="preserve">The division </w:t>
      </w:r>
      <w:r w:rsidRPr="00915615">
        <w:t xml:space="preserve">will assess its communications and public involvement strategies and employ best practices that foster meaningful involvement by traditionally underrepresented persons. </w:t>
      </w:r>
    </w:p>
    <w:p w14:paraId="479E73E2" w14:textId="77777777" w:rsidR="00EA731E" w:rsidRDefault="00EA731E" w:rsidP="00AF0F1F">
      <w:pPr>
        <w:ind w:hanging="720"/>
        <w:jc w:val="both"/>
      </w:pPr>
    </w:p>
    <w:p w14:paraId="24D0792C" w14:textId="77777777" w:rsidR="00EA731E" w:rsidRDefault="00EA731E" w:rsidP="00AF0F1F">
      <w:pPr>
        <w:ind w:left="1152" w:hanging="720"/>
        <w:jc w:val="both"/>
      </w:pPr>
      <w:r>
        <w:t xml:space="preserve">2.2. </w:t>
      </w:r>
      <w:r>
        <w:tab/>
        <w:t xml:space="preserve">The division </w:t>
      </w:r>
      <w:r w:rsidRPr="00915615">
        <w:t>will use non-discrimination notices to notify the public of the protections provided by Title VI and related statutes.</w:t>
      </w:r>
    </w:p>
    <w:p w14:paraId="6CC55F2E" w14:textId="77777777" w:rsidR="00EA731E" w:rsidRDefault="00EA731E" w:rsidP="00AF0F1F">
      <w:pPr>
        <w:ind w:hanging="720"/>
        <w:jc w:val="both"/>
      </w:pPr>
    </w:p>
    <w:p w14:paraId="6AE14B83" w14:textId="77777777" w:rsidR="00EA731E" w:rsidRPr="00F51ACA" w:rsidRDefault="00EA731E" w:rsidP="00AF0F1F">
      <w:pPr>
        <w:ind w:left="1152" w:hanging="720"/>
        <w:jc w:val="both"/>
      </w:pPr>
      <w:r>
        <w:t xml:space="preserve">2.3. </w:t>
      </w:r>
      <w:r>
        <w:tab/>
        <w:t xml:space="preserve">The division </w:t>
      </w:r>
      <w:r w:rsidRPr="00915615">
        <w:t xml:space="preserve">is committed to fully utilizing available culturally specific publications or media, and where appropriate, providing written or verbal information in languages other than English. </w:t>
      </w:r>
    </w:p>
    <w:p w14:paraId="601ADEB1" w14:textId="77777777" w:rsidR="00EA731E" w:rsidRDefault="00EA731E" w:rsidP="00AF0F1F">
      <w:pPr>
        <w:ind w:hanging="720"/>
        <w:jc w:val="both"/>
      </w:pPr>
    </w:p>
    <w:p w14:paraId="01DE211E" w14:textId="77777777" w:rsidR="00EA731E" w:rsidRDefault="00EA731E" w:rsidP="00AF0F1F">
      <w:pPr>
        <w:ind w:left="720" w:hanging="720"/>
        <w:jc w:val="both"/>
        <w:rPr>
          <w:u w:val="single"/>
        </w:rPr>
      </w:pPr>
      <w:r>
        <w:t>3.</w:t>
      </w:r>
      <w:r>
        <w:tab/>
      </w:r>
      <w:r>
        <w:rPr>
          <w:u w:val="single"/>
        </w:rPr>
        <w:t>Limited English Proficiency (LEP) Requirements</w:t>
      </w:r>
    </w:p>
    <w:p w14:paraId="41A93631" w14:textId="77777777" w:rsidR="00EA731E" w:rsidRDefault="00EA731E" w:rsidP="00AF0F1F">
      <w:pPr>
        <w:ind w:hanging="720"/>
        <w:jc w:val="both"/>
      </w:pPr>
    </w:p>
    <w:p w14:paraId="1390DBC9" w14:textId="77777777" w:rsidR="00EA731E" w:rsidRDefault="00EA731E" w:rsidP="00AF0F1F">
      <w:pPr>
        <w:ind w:left="1152" w:hanging="720"/>
        <w:jc w:val="both"/>
      </w:pPr>
      <w:r>
        <w:t xml:space="preserve">3.1. </w:t>
      </w:r>
      <w:r>
        <w:tab/>
        <w:t>The division</w:t>
      </w:r>
      <w:r w:rsidRPr="00915615">
        <w:t xml:space="preserve"> recognizes that language can be a barrier to accessing benefits or services, understanding, and exercising rights, complying with regulations, or understanding other information provided by its programs and activities. </w:t>
      </w:r>
    </w:p>
    <w:p w14:paraId="374C5A4E" w14:textId="77777777" w:rsidR="00EA731E" w:rsidRDefault="00EA731E" w:rsidP="00AF0F1F">
      <w:pPr>
        <w:ind w:hanging="720"/>
        <w:jc w:val="both"/>
      </w:pPr>
    </w:p>
    <w:p w14:paraId="0731233A" w14:textId="77777777" w:rsidR="00EA731E" w:rsidRDefault="00EA731E" w:rsidP="00AF0F1F">
      <w:pPr>
        <w:ind w:left="1152" w:hanging="720"/>
        <w:jc w:val="both"/>
      </w:pPr>
      <w:r>
        <w:t>3.2.</w:t>
      </w:r>
      <w:r>
        <w:tab/>
      </w:r>
      <w:r w:rsidRPr="00915615">
        <w:t xml:space="preserve">As a recipient of federal funds, </w:t>
      </w:r>
      <w:r>
        <w:t xml:space="preserve">the division </w:t>
      </w:r>
      <w:r w:rsidRPr="00915615">
        <w:t xml:space="preserve">must ensure that people with </w:t>
      </w:r>
      <w:r>
        <w:t>L</w:t>
      </w:r>
      <w:r w:rsidRPr="00915615">
        <w:t>imited English proficiency have full access to its programs, benefits, services, and activities. No person should be deprived of such access because of their language skills or English proficiency.</w:t>
      </w:r>
    </w:p>
    <w:p w14:paraId="03212717" w14:textId="77777777" w:rsidR="00EA731E" w:rsidRDefault="00EA731E" w:rsidP="00AF0F1F">
      <w:pPr>
        <w:ind w:hanging="720"/>
        <w:jc w:val="both"/>
      </w:pPr>
    </w:p>
    <w:p w14:paraId="29E5479E" w14:textId="77777777" w:rsidR="00EA731E" w:rsidRDefault="00EA731E" w:rsidP="00AF0F1F">
      <w:pPr>
        <w:ind w:left="1152" w:hanging="720"/>
        <w:jc w:val="both"/>
      </w:pPr>
      <w:r>
        <w:t xml:space="preserve">3.3. </w:t>
      </w:r>
      <w:r>
        <w:tab/>
        <w:t>The division</w:t>
      </w:r>
      <w:r w:rsidRPr="00915615">
        <w:t xml:space="preserve"> staff has access to contractors that can provide telephonic, written, and in-person meeting translation and interpretation services. </w:t>
      </w:r>
      <w:bookmarkStart w:id="0" w:name="_Toc88130793"/>
    </w:p>
    <w:p w14:paraId="5BF93CF5" w14:textId="77777777" w:rsidR="00EA731E" w:rsidRDefault="00EA731E" w:rsidP="00AF0F1F">
      <w:pPr>
        <w:ind w:left="1152" w:hanging="720"/>
        <w:jc w:val="both"/>
      </w:pPr>
    </w:p>
    <w:p w14:paraId="03A47B91" w14:textId="77777777" w:rsidR="00EA731E" w:rsidRPr="002E08FF" w:rsidRDefault="00EA731E" w:rsidP="00AF0F1F">
      <w:pPr>
        <w:ind w:left="1152" w:hanging="720"/>
        <w:jc w:val="both"/>
      </w:pPr>
    </w:p>
    <w:p w14:paraId="5825271E" w14:textId="14C37EE8" w:rsidR="00EA731E" w:rsidRDefault="00EA731E" w:rsidP="00AF0F1F">
      <w:pPr>
        <w:ind w:hanging="720"/>
        <w:jc w:val="both"/>
        <w:rPr>
          <w:bCs/>
        </w:rPr>
      </w:pPr>
    </w:p>
    <w:p w14:paraId="2AE837B0" w14:textId="77777777" w:rsidR="00AF0F1F" w:rsidRPr="00241A11" w:rsidRDefault="00AF0F1F" w:rsidP="00AF0F1F">
      <w:pPr>
        <w:ind w:hanging="720"/>
        <w:jc w:val="both"/>
        <w:rPr>
          <w:bCs/>
        </w:rPr>
      </w:pPr>
    </w:p>
    <w:p w14:paraId="245A81A4" w14:textId="77777777" w:rsidR="00EA731E" w:rsidRPr="00A54956" w:rsidRDefault="00EA731E" w:rsidP="00EA731E">
      <w:pPr>
        <w:ind w:left="720" w:hanging="720"/>
      </w:pPr>
      <w:r w:rsidRPr="00241A11">
        <w:rPr>
          <w:bCs/>
        </w:rPr>
        <w:lastRenderedPageBreak/>
        <w:t xml:space="preserve">4. </w:t>
      </w:r>
      <w:r>
        <w:rPr>
          <w:bCs/>
        </w:rPr>
        <w:tab/>
      </w:r>
      <w:r w:rsidRPr="00A54956">
        <w:rPr>
          <w:bCs/>
          <w:u w:val="single"/>
        </w:rPr>
        <w:t>Contact</w:t>
      </w:r>
      <w:bookmarkEnd w:id="0"/>
    </w:p>
    <w:p w14:paraId="3F2C3EF4" w14:textId="77777777" w:rsidR="00EA731E" w:rsidRPr="00A54956" w:rsidRDefault="00EA731E" w:rsidP="00EA731E">
      <w:pPr>
        <w:ind w:hanging="720"/>
        <w:rPr>
          <w:lang w:eastAsia="ja-JP"/>
        </w:rPr>
      </w:pPr>
    </w:p>
    <w:p w14:paraId="1F77F055" w14:textId="77777777" w:rsidR="00EA731E" w:rsidRPr="00605890" w:rsidRDefault="00EA731E" w:rsidP="00AF0F1F">
      <w:pPr>
        <w:ind w:left="1152" w:hanging="720"/>
        <w:jc w:val="both"/>
        <w:rPr>
          <w:highlight w:val="yellow"/>
        </w:rPr>
      </w:pPr>
      <w:r>
        <w:t>4.1.</w:t>
      </w:r>
      <w:r>
        <w:tab/>
      </w:r>
      <w:r w:rsidRPr="00D84C8B">
        <w:t xml:space="preserve">The </w:t>
      </w:r>
      <w:r>
        <w:t>division’s</w:t>
      </w:r>
      <w:r w:rsidRPr="00D84C8B">
        <w:t xml:space="preserve"> Limited English Proficiency Plan is coordinated through the Board of Commissioner’s office. </w:t>
      </w:r>
    </w:p>
    <w:p w14:paraId="574BB09D" w14:textId="77777777" w:rsidR="00EA731E" w:rsidRPr="00605890" w:rsidRDefault="00EA731E" w:rsidP="00AF0F1F">
      <w:pPr>
        <w:ind w:hanging="720"/>
        <w:jc w:val="both"/>
        <w:rPr>
          <w:highlight w:val="yellow"/>
        </w:rPr>
      </w:pPr>
    </w:p>
    <w:p w14:paraId="0DC358AC" w14:textId="77777777" w:rsidR="00EA731E" w:rsidRDefault="00EA731E" w:rsidP="00AF0F1F">
      <w:pPr>
        <w:ind w:left="1152" w:hanging="720"/>
        <w:jc w:val="both"/>
      </w:pPr>
      <w:r w:rsidRPr="00D84C8B">
        <w:t>4.2.</w:t>
      </w:r>
      <w:r w:rsidRPr="00D84C8B">
        <w:tab/>
        <w:t>The Board of Commissioner’s office shall provide oversight for this policy’s implementation, coordinate the delivery of LEP language services, ensure that staff receives appropriate training on this policy and any applicable procedures, and monitor and periodically assess this policy’s effectiveness.</w:t>
      </w:r>
      <w:bookmarkStart w:id="1" w:name="_Toc88130794"/>
    </w:p>
    <w:p w14:paraId="1A2D6599" w14:textId="77777777" w:rsidR="00EA731E" w:rsidRDefault="00EA731E" w:rsidP="00AF0F1F">
      <w:pPr>
        <w:ind w:hanging="720"/>
        <w:jc w:val="both"/>
      </w:pPr>
    </w:p>
    <w:p w14:paraId="5A9F7160" w14:textId="77777777" w:rsidR="00EA731E" w:rsidRPr="00BB3D60" w:rsidRDefault="00EA731E" w:rsidP="00AF0F1F">
      <w:pPr>
        <w:ind w:left="720" w:hanging="720"/>
        <w:jc w:val="both"/>
      </w:pPr>
      <w:r>
        <w:t xml:space="preserve">5. </w:t>
      </w:r>
      <w:r>
        <w:tab/>
      </w:r>
      <w:r w:rsidRPr="00A54956">
        <w:rPr>
          <w:u w:val="single"/>
        </w:rPr>
        <w:t>Marion County Oregon</w:t>
      </w:r>
      <w:bookmarkEnd w:id="1"/>
      <w:r w:rsidRPr="00A54956">
        <w:rPr>
          <w:u w:val="single"/>
        </w:rPr>
        <w:t xml:space="preserve"> Numbers</w:t>
      </w:r>
    </w:p>
    <w:p w14:paraId="31CD6510" w14:textId="77777777" w:rsidR="00EA731E" w:rsidRPr="00A54956" w:rsidRDefault="00EA731E" w:rsidP="00AF0F1F">
      <w:pPr>
        <w:ind w:hanging="720"/>
        <w:jc w:val="both"/>
        <w:rPr>
          <w:lang w:eastAsia="ja-JP"/>
        </w:rPr>
      </w:pPr>
    </w:p>
    <w:p w14:paraId="2FAAF3F3" w14:textId="77777777" w:rsidR="00EA731E" w:rsidRPr="00915615" w:rsidRDefault="00EA731E" w:rsidP="00AF0F1F">
      <w:pPr>
        <w:ind w:left="1152" w:hanging="720"/>
        <w:jc w:val="both"/>
      </w:pPr>
      <w:r>
        <w:t xml:space="preserve">5.1. </w:t>
      </w:r>
      <w:r>
        <w:tab/>
      </w:r>
      <w:r w:rsidRPr="00915615">
        <w:t>Marion County has a population of 347,818 and encompasses nearly 1,200 square miles.</w:t>
      </w:r>
      <w:r>
        <w:t xml:space="preserve"> The Marion County CDBG Service Area includes the following incorporated cities: Aumsville, Aurora, Detroit, Donald, Gervais, Hubbard, </w:t>
      </w:r>
      <w:proofErr w:type="spellStart"/>
      <w:r>
        <w:t>Idanha</w:t>
      </w:r>
      <w:proofErr w:type="spellEnd"/>
      <w:r>
        <w:t xml:space="preserve">, Jefferson, Keizer, Mill City, Mt. Angel, Scotts Mills, Silverton, St. Paul, Stayton, Sublimity, Turner, and Woodburn. The estimated population within the CDBG &amp; HOME Grant Program Service Area is 169,864. </w:t>
      </w:r>
    </w:p>
    <w:p w14:paraId="4C5D82A6" w14:textId="77777777" w:rsidR="00EA731E" w:rsidRPr="00915615" w:rsidRDefault="00EA731E" w:rsidP="00AF0F1F">
      <w:pPr>
        <w:ind w:hanging="720"/>
        <w:jc w:val="both"/>
      </w:pPr>
    </w:p>
    <w:p w14:paraId="3A69FE2F" w14:textId="77777777" w:rsidR="00EA731E" w:rsidRPr="00915615" w:rsidRDefault="00EA731E" w:rsidP="00AF0F1F">
      <w:pPr>
        <w:ind w:hanging="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2799"/>
        <w:gridCol w:w="2511"/>
      </w:tblGrid>
      <w:tr w:rsidR="00EA731E" w:rsidRPr="00915615" w14:paraId="79603F59" w14:textId="77777777" w:rsidTr="008534E9">
        <w:trPr>
          <w:jc w:val="center"/>
        </w:trPr>
        <w:tc>
          <w:tcPr>
            <w:tcW w:w="10116" w:type="dxa"/>
            <w:gridSpan w:val="3"/>
            <w:shd w:val="clear" w:color="auto" w:fill="EDEDED"/>
          </w:tcPr>
          <w:p w14:paraId="0F492FC9" w14:textId="77777777" w:rsidR="00EA731E" w:rsidRPr="002E08FF" w:rsidRDefault="00EA731E" w:rsidP="008534E9">
            <w:pPr>
              <w:ind w:left="720" w:hanging="720"/>
              <w:jc w:val="center"/>
              <w:rPr>
                <w:rFonts w:eastAsia="Calibri"/>
                <w:b/>
              </w:rPr>
            </w:pPr>
            <w:bookmarkStart w:id="2" w:name="_Toc88130795"/>
            <w:r w:rsidRPr="002E08FF">
              <w:rPr>
                <w:rFonts w:eastAsia="Calibri"/>
                <w:b/>
              </w:rPr>
              <w:t>Population by Race and Ethnicity</w:t>
            </w:r>
          </w:p>
          <w:p w14:paraId="05BAFC47" w14:textId="77777777" w:rsidR="00EA731E" w:rsidRPr="002E08FF" w:rsidRDefault="00EA731E" w:rsidP="008534E9">
            <w:pPr>
              <w:ind w:left="720" w:hanging="720"/>
              <w:jc w:val="center"/>
              <w:rPr>
                <w:rFonts w:eastAsia="Calibri"/>
              </w:rPr>
            </w:pPr>
            <w:r w:rsidRPr="002E08FF">
              <w:rPr>
                <w:rFonts w:eastAsia="Calibri"/>
              </w:rPr>
              <w:t>*Marion County CDBG Service Area</w:t>
            </w:r>
          </w:p>
          <w:p w14:paraId="716CE37E" w14:textId="77777777" w:rsidR="00EA731E" w:rsidRPr="002E08FF" w:rsidRDefault="00EA731E" w:rsidP="008534E9">
            <w:pPr>
              <w:ind w:left="720" w:hanging="720"/>
              <w:jc w:val="center"/>
              <w:rPr>
                <w:rFonts w:eastAsia="Calibri"/>
              </w:rPr>
            </w:pPr>
            <w:r w:rsidRPr="002E08FF">
              <w:rPr>
                <w:rFonts w:eastAsia="Calibri"/>
              </w:rPr>
              <w:t>2019 Five-Year ACS</w:t>
            </w:r>
          </w:p>
        </w:tc>
      </w:tr>
      <w:tr w:rsidR="00EA731E" w:rsidRPr="00915615" w14:paraId="1EBF6A92" w14:textId="77777777" w:rsidTr="008534E9">
        <w:trPr>
          <w:jc w:val="center"/>
        </w:trPr>
        <w:tc>
          <w:tcPr>
            <w:tcW w:w="4806" w:type="dxa"/>
            <w:shd w:val="clear" w:color="auto" w:fill="auto"/>
          </w:tcPr>
          <w:p w14:paraId="7C6B2CCB" w14:textId="77777777" w:rsidR="00EA731E" w:rsidRPr="002E08FF" w:rsidRDefault="00EA731E" w:rsidP="008534E9">
            <w:pPr>
              <w:ind w:left="720" w:hanging="720"/>
              <w:jc w:val="center"/>
              <w:rPr>
                <w:rFonts w:eastAsia="Calibri"/>
                <w:b/>
              </w:rPr>
            </w:pPr>
            <w:r w:rsidRPr="002E08FF">
              <w:rPr>
                <w:rFonts w:eastAsia="Calibri"/>
                <w:b/>
              </w:rPr>
              <w:t>Race</w:t>
            </w:r>
          </w:p>
        </w:tc>
        <w:tc>
          <w:tcPr>
            <w:tcW w:w="2799" w:type="dxa"/>
            <w:shd w:val="clear" w:color="auto" w:fill="auto"/>
          </w:tcPr>
          <w:p w14:paraId="36A26481" w14:textId="77777777" w:rsidR="00EA731E" w:rsidRPr="002E08FF" w:rsidRDefault="00EA731E" w:rsidP="008534E9">
            <w:pPr>
              <w:ind w:left="720" w:hanging="720"/>
              <w:jc w:val="center"/>
              <w:rPr>
                <w:rFonts w:eastAsia="Calibri"/>
                <w:b/>
              </w:rPr>
            </w:pPr>
            <w:r w:rsidRPr="002E08FF">
              <w:rPr>
                <w:rFonts w:eastAsia="Calibri"/>
                <w:b/>
              </w:rPr>
              <w:t>Population</w:t>
            </w:r>
          </w:p>
        </w:tc>
        <w:tc>
          <w:tcPr>
            <w:tcW w:w="2511" w:type="dxa"/>
            <w:shd w:val="clear" w:color="auto" w:fill="auto"/>
          </w:tcPr>
          <w:p w14:paraId="0EF66CFA" w14:textId="77777777" w:rsidR="00EA731E" w:rsidRPr="002E08FF" w:rsidRDefault="00EA731E" w:rsidP="008534E9">
            <w:pPr>
              <w:ind w:left="720" w:hanging="720"/>
              <w:jc w:val="center"/>
              <w:rPr>
                <w:rFonts w:eastAsia="Calibri"/>
                <w:b/>
              </w:rPr>
            </w:pPr>
            <w:r w:rsidRPr="002E08FF">
              <w:rPr>
                <w:rFonts w:eastAsia="Calibri"/>
                <w:b/>
              </w:rPr>
              <w:t xml:space="preserve">% </w:t>
            </w:r>
            <w:proofErr w:type="gramStart"/>
            <w:r w:rsidRPr="002E08FF">
              <w:rPr>
                <w:rFonts w:eastAsia="Calibri"/>
                <w:b/>
              </w:rPr>
              <w:t>of</w:t>
            </w:r>
            <w:proofErr w:type="gramEnd"/>
            <w:r w:rsidRPr="002E08FF">
              <w:rPr>
                <w:rFonts w:eastAsia="Calibri"/>
                <w:b/>
              </w:rPr>
              <w:t xml:space="preserve"> Total</w:t>
            </w:r>
          </w:p>
        </w:tc>
      </w:tr>
      <w:tr w:rsidR="00EA731E" w:rsidRPr="00915615" w14:paraId="460F5AC7" w14:textId="77777777" w:rsidTr="008534E9">
        <w:trPr>
          <w:jc w:val="center"/>
        </w:trPr>
        <w:tc>
          <w:tcPr>
            <w:tcW w:w="4806" w:type="dxa"/>
            <w:shd w:val="clear" w:color="auto" w:fill="auto"/>
          </w:tcPr>
          <w:p w14:paraId="30681BE9" w14:textId="77777777" w:rsidR="00EA731E" w:rsidRPr="002E08FF" w:rsidRDefault="00EA731E" w:rsidP="008534E9">
            <w:pPr>
              <w:ind w:left="720" w:hanging="720"/>
              <w:rPr>
                <w:rFonts w:eastAsia="Calibri"/>
              </w:rPr>
            </w:pPr>
            <w:r w:rsidRPr="002E08FF">
              <w:rPr>
                <w:rFonts w:eastAsia="Calibri"/>
              </w:rPr>
              <w:t>White</w:t>
            </w:r>
          </w:p>
        </w:tc>
        <w:tc>
          <w:tcPr>
            <w:tcW w:w="2799" w:type="dxa"/>
            <w:shd w:val="clear" w:color="auto" w:fill="auto"/>
          </w:tcPr>
          <w:p w14:paraId="25038E51" w14:textId="77777777" w:rsidR="00EA731E" w:rsidRPr="002E08FF" w:rsidRDefault="00EA731E" w:rsidP="008534E9">
            <w:pPr>
              <w:ind w:left="720" w:hanging="720"/>
              <w:jc w:val="center"/>
              <w:rPr>
                <w:rFonts w:eastAsia="Calibri"/>
              </w:rPr>
            </w:pPr>
            <w:r w:rsidRPr="002E08FF">
              <w:rPr>
                <w:rFonts w:eastAsia="Calibri"/>
              </w:rPr>
              <w:t>1</w:t>
            </w:r>
            <w:r>
              <w:rPr>
                <w:rFonts w:eastAsia="Calibri"/>
              </w:rPr>
              <w:t>58,494</w:t>
            </w:r>
          </w:p>
        </w:tc>
        <w:tc>
          <w:tcPr>
            <w:tcW w:w="2511" w:type="dxa"/>
            <w:shd w:val="clear" w:color="auto" w:fill="auto"/>
          </w:tcPr>
          <w:p w14:paraId="147776A5" w14:textId="77777777" w:rsidR="00EA731E" w:rsidRPr="002E08FF" w:rsidRDefault="00EA731E" w:rsidP="008534E9">
            <w:pPr>
              <w:ind w:left="720" w:hanging="720"/>
              <w:jc w:val="center"/>
              <w:rPr>
                <w:rFonts w:eastAsia="Calibri"/>
              </w:rPr>
            </w:pPr>
            <w:r>
              <w:rPr>
                <w:rFonts w:eastAsia="Calibri"/>
              </w:rPr>
              <w:t>93.3</w:t>
            </w:r>
            <w:r w:rsidRPr="002E08FF">
              <w:rPr>
                <w:rFonts w:eastAsia="Calibri"/>
              </w:rPr>
              <w:t>%</w:t>
            </w:r>
          </w:p>
        </w:tc>
      </w:tr>
      <w:tr w:rsidR="00EA731E" w:rsidRPr="00915615" w14:paraId="73D564B2" w14:textId="77777777" w:rsidTr="008534E9">
        <w:trPr>
          <w:jc w:val="center"/>
        </w:trPr>
        <w:tc>
          <w:tcPr>
            <w:tcW w:w="4806" w:type="dxa"/>
            <w:shd w:val="clear" w:color="auto" w:fill="auto"/>
          </w:tcPr>
          <w:p w14:paraId="561A5F08" w14:textId="77777777" w:rsidR="00EA731E" w:rsidRPr="002E08FF" w:rsidRDefault="00EA731E" w:rsidP="008534E9">
            <w:pPr>
              <w:ind w:left="720" w:hanging="720"/>
              <w:rPr>
                <w:rFonts w:eastAsia="Calibri"/>
              </w:rPr>
            </w:pPr>
            <w:r w:rsidRPr="002E08FF">
              <w:rPr>
                <w:rFonts w:eastAsia="Calibri"/>
              </w:rPr>
              <w:t>Black</w:t>
            </w:r>
          </w:p>
        </w:tc>
        <w:tc>
          <w:tcPr>
            <w:tcW w:w="2799" w:type="dxa"/>
            <w:shd w:val="clear" w:color="auto" w:fill="auto"/>
          </w:tcPr>
          <w:p w14:paraId="4CBC8E79" w14:textId="77777777" w:rsidR="00EA731E" w:rsidRPr="002E08FF" w:rsidRDefault="00EA731E" w:rsidP="008534E9">
            <w:pPr>
              <w:ind w:left="720" w:hanging="720"/>
              <w:jc w:val="center"/>
              <w:rPr>
                <w:rFonts w:eastAsia="Calibri"/>
              </w:rPr>
            </w:pPr>
            <w:r>
              <w:rPr>
                <w:rFonts w:eastAsia="Calibri"/>
              </w:rPr>
              <w:t>4,722</w:t>
            </w:r>
          </w:p>
        </w:tc>
        <w:tc>
          <w:tcPr>
            <w:tcW w:w="2511" w:type="dxa"/>
            <w:shd w:val="clear" w:color="auto" w:fill="auto"/>
          </w:tcPr>
          <w:p w14:paraId="78B28641" w14:textId="77777777" w:rsidR="00EA731E" w:rsidRPr="002E08FF" w:rsidRDefault="00EA731E" w:rsidP="008534E9">
            <w:pPr>
              <w:ind w:left="720" w:hanging="720"/>
              <w:jc w:val="center"/>
              <w:rPr>
                <w:rFonts w:eastAsia="Calibri"/>
              </w:rPr>
            </w:pPr>
            <w:r>
              <w:rPr>
                <w:rFonts w:eastAsia="Calibri"/>
              </w:rPr>
              <w:t>2.7</w:t>
            </w:r>
            <w:r w:rsidRPr="002E08FF">
              <w:rPr>
                <w:rFonts w:eastAsia="Calibri"/>
              </w:rPr>
              <w:t>%</w:t>
            </w:r>
          </w:p>
        </w:tc>
      </w:tr>
      <w:tr w:rsidR="00EA731E" w:rsidRPr="00915615" w14:paraId="0328E951" w14:textId="77777777" w:rsidTr="008534E9">
        <w:trPr>
          <w:jc w:val="center"/>
        </w:trPr>
        <w:tc>
          <w:tcPr>
            <w:tcW w:w="4806" w:type="dxa"/>
            <w:shd w:val="clear" w:color="auto" w:fill="auto"/>
          </w:tcPr>
          <w:p w14:paraId="5C84EEE2" w14:textId="77777777" w:rsidR="00EA731E" w:rsidRPr="002E08FF" w:rsidRDefault="00EA731E" w:rsidP="008534E9">
            <w:pPr>
              <w:ind w:left="720" w:hanging="720"/>
              <w:rPr>
                <w:rFonts w:eastAsia="Calibri"/>
              </w:rPr>
            </w:pPr>
            <w:r w:rsidRPr="002E08FF">
              <w:rPr>
                <w:rFonts w:eastAsia="Calibri"/>
              </w:rPr>
              <w:t>American Indian</w:t>
            </w:r>
          </w:p>
        </w:tc>
        <w:tc>
          <w:tcPr>
            <w:tcW w:w="2799" w:type="dxa"/>
            <w:shd w:val="clear" w:color="auto" w:fill="auto"/>
          </w:tcPr>
          <w:p w14:paraId="72CD356E" w14:textId="77777777" w:rsidR="00EA731E" w:rsidRPr="002E08FF" w:rsidRDefault="00EA731E" w:rsidP="008534E9">
            <w:pPr>
              <w:ind w:left="720" w:hanging="720"/>
              <w:jc w:val="center"/>
              <w:rPr>
                <w:rFonts w:eastAsia="Calibri"/>
              </w:rPr>
            </w:pPr>
            <w:r>
              <w:rPr>
                <w:rFonts w:eastAsia="Calibri"/>
              </w:rPr>
              <w:t>14,929</w:t>
            </w:r>
          </w:p>
        </w:tc>
        <w:tc>
          <w:tcPr>
            <w:tcW w:w="2511" w:type="dxa"/>
            <w:shd w:val="clear" w:color="auto" w:fill="auto"/>
          </w:tcPr>
          <w:p w14:paraId="4587BB4A" w14:textId="77777777" w:rsidR="00EA731E" w:rsidRPr="002E08FF" w:rsidRDefault="00EA731E" w:rsidP="008534E9">
            <w:pPr>
              <w:ind w:left="720" w:hanging="720"/>
              <w:jc w:val="center"/>
              <w:rPr>
                <w:rFonts w:eastAsia="Calibri"/>
              </w:rPr>
            </w:pPr>
            <w:r>
              <w:rPr>
                <w:rFonts w:eastAsia="Calibri"/>
              </w:rPr>
              <w:t>8.7</w:t>
            </w:r>
            <w:r w:rsidRPr="002E08FF">
              <w:rPr>
                <w:rFonts w:eastAsia="Calibri"/>
              </w:rPr>
              <w:t>%</w:t>
            </w:r>
          </w:p>
        </w:tc>
      </w:tr>
      <w:tr w:rsidR="00EA731E" w:rsidRPr="00915615" w14:paraId="26348B43" w14:textId="77777777" w:rsidTr="008534E9">
        <w:trPr>
          <w:jc w:val="center"/>
        </w:trPr>
        <w:tc>
          <w:tcPr>
            <w:tcW w:w="4806" w:type="dxa"/>
            <w:shd w:val="clear" w:color="auto" w:fill="auto"/>
          </w:tcPr>
          <w:p w14:paraId="538B7D53" w14:textId="77777777" w:rsidR="00EA731E" w:rsidRPr="002E08FF" w:rsidRDefault="00EA731E" w:rsidP="008534E9">
            <w:pPr>
              <w:ind w:left="720" w:hanging="720"/>
              <w:rPr>
                <w:rFonts w:eastAsia="Calibri"/>
              </w:rPr>
            </w:pPr>
            <w:r w:rsidRPr="002E08FF">
              <w:rPr>
                <w:rFonts w:eastAsia="Calibri"/>
              </w:rPr>
              <w:t>Asian</w:t>
            </w:r>
          </w:p>
        </w:tc>
        <w:tc>
          <w:tcPr>
            <w:tcW w:w="2799" w:type="dxa"/>
            <w:shd w:val="clear" w:color="auto" w:fill="auto"/>
          </w:tcPr>
          <w:p w14:paraId="2953BC23" w14:textId="77777777" w:rsidR="00EA731E" w:rsidRPr="002E08FF" w:rsidRDefault="00EA731E" w:rsidP="008534E9">
            <w:pPr>
              <w:ind w:left="720" w:hanging="720"/>
              <w:jc w:val="center"/>
              <w:rPr>
                <w:rFonts w:eastAsia="Calibri"/>
              </w:rPr>
            </w:pPr>
            <w:r>
              <w:rPr>
                <w:rFonts w:eastAsia="Calibri"/>
              </w:rPr>
              <w:t>6,407</w:t>
            </w:r>
          </w:p>
        </w:tc>
        <w:tc>
          <w:tcPr>
            <w:tcW w:w="2511" w:type="dxa"/>
            <w:shd w:val="clear" w:color="auto" w:fill="auto"/>
          </w:tcPr>
          <w:p w14:paraId="0C65532D" w14:textId="77777777" w:rsidR="00EA731E" w:rsidRPr="002E08FF" w:rsidRDefault="00EA731E" w:rsidP="008534E9">
            <w:pPr>
              <w:ind w:left="720" w:hanging="720"/>
              <w:jc w:val="center"/>
              <w:rPr>
                <w:rFonts w:eastAsia="Calibri"/>
              </w:rPr>
            </w:pPr>
            <w:r>
              <w:rPr>
                <w:rFonts w:eastAsia="Calibri"/>
              </w:rPr>
              <w:t>3.7</w:t>
            </w:r>
            <w:r w:rsidRPr="002E08FF">
              <w:rPr>
                <w:rFonts w:eastAsia="Calibri"/>
              </w:rPr>
              <w:t>%</w:t>
            </w:r>
          </w:p>
        </w:tc>
      </w:tr>
      <w:tr w:rsidR="00EA731E" w:rsidRPr="00915615" w14:paraId="16E9B22D" w14:textId="77777777" w:rsidTr="008534E9">
        <w:trPr>
          <w:jc w:val="center"/>
        </w:trPr>
        <w:tc>
          <w:tcPr>
            <w:tcW w:w="4806" w:type="dxa"/>
            <w:shd w:val="clear" w:color="auto" w:fill="auto"/>
          </w:tcPr>
          <w:p w14:paraId="48CF5FBB" w14:textId="77777777" w:rsidR="00EA731E" w:rsidRPr="002E08FF" w:rsidRDefault="00EA731E" w:rsidP="008534E9">
            <w:pPr>
              <w:ind w:left="720" w:hanging="720"/>
              <w:rPr>
                <w:rFonts w:eastAsia="Calibri"/>
              </w:rPr>
            </w:pPr>
            <w:r w:rsidRPr="002E08FF">
              <w:rPr>
                <w:rFonts w:eastAsia="Calibri"/>
              </w:rPr>
              <w:t>Native Hawaiian/Pacific Islander</w:t>
            </w:r>
          </w:p>
        </w:tc>
        <w:tc>
          <w:tcPr>
            <w:tcW w:w="2799" w:type="dxa"/>
            <w:shd w:val="clear" w:color="auto" w:fill="auto"/>
          </w:tcPr>
          <w:p w14:paraId="56987355" w14:textId="77777777" w:rsidR="00EA731E" w:rsidRPr="002E08FF" w:rsidRDefault="00EA731E" w:rsidP="008534E9">
            <w:pPr>
              <w:ind w:left="720" w:hanging="720"/>
              <w:jc w:val="center"/>
              <w:rPr>
                <w:rFonts w:eastAsia="Calibri"/>
              </w:rPr>
            </w:pPr>
            <w:r>
              <w:rPr>
                <w:rFonts w:eastAsia="Calibri"/>
              </w:rPr>
              <w:t>2,054</w:t>
            </w:r>
          </w:p>
        </w:tc>
        <w:tc>
          <w:tcPr>
            <w:tcW w:w="2511" w:type="dxa"/>
            <w:shd w:val="clear" w:color="auto" w:fill="auto"/>
          </w:tcPr>
          <w:p w14:paraId="318D5B06" w14:textId="77777777" w:rsidR="00EA731E" w:rsidRPr="002E08FF" w:rsidRDefault="00EA731E" w:rsidP="008534E9">
            <w:pPr>
              <w:ind w:left="720" w:hanging="720"/>
              <w:jc w:val="center"/>
              <w:rPr>
                <w:rFonts w:eastAsia="Calibri"/>
              </w:rPr>
            </w:pPr>
            <w:r>
              <w:rPr>
                <w:rFonts w:eastAsia="Calibri"/>
              </w:rPr>
              <w:t>1.2</w:t>
            </w:r>
            <w:r w:rsidRPr="002E08FF">
              <w:rPr>
                <w:rFonts w:eastAsia="Calibri"/>
              </w:rPr>
              <w:t>%</w:t>
            </w:r>
          </w:p>
        </w:tc>
      </w:tr>
      <w:tr w:rsidR="00EA731E" w:rsidRPr="00915615" w14:paraId="4ABD6FB7" w14:textId="77777777" w:rsidTr="008534E9">
        <w:trPr>
          <w:jc w:val="center"/>
        </w:trPr>
        <w:tc>
          <w:tcPr>
            <w:tcW w:w="4806" w:type="dxa"/>
            <w:shd w:val="clear" w:color="auto" w:fill="auto"/>
          </w:tcPr>
          <w:p w14:paraId="1E651648" w14:textId="77777777" w:rsidR="00EA731E" w:rsidRPr="002E08FF" w:rsidRDefault="00EA731E" w:rsidP="008534E9">
            <w:pPr>
              <w:ind w:left="720" w:hanging="720"/>
              <w:rPr>
                <w:rFonts w:eastAsia="Calibri"/>
              </w:rPr>
            </w:pPr>
            <w:r w:rsidRPr="002E08FF">
              <w:rPr>
                <w:rFonts w:eastAsia="Calibri"/>
              </w:rPr>
              <w:t>Other</w:t>
            </w:r>
          </w:p>
        </w:tc>
        <w:tc>
          <w:tcPr>
            <w:tcW w:w="2799" w:type="dxa"/>
            <w:shd w:val="clear" w:color="auto" w:fill="auto"/>
          </w:tcPr>
          <w:p w14:paraId="271488E5" w14:textId="77777777" w:rsidR="00EA731E" w:rsidRPr="002E08FF" w:rsidRDefault="00EA731E" w:rsidP="008534E9">
            <w:pPr>
              <w:ind w:left="720" w:hanging="720"/>
              <w:jc w:val="center"/>
              <w:rPr>
                <w:rFonts w:eastAsia="Calibri"/>
              </w:rPr>
            </w:pPr>
            <w:r>
              <w:rPr>
                <w:rFonts w:eastAsia="Calibri"/>
              </w:rPr>
              <w:t>14,648</w:t>
            </w:r>
          </w:p>
        </w:tc>
        <w:tc>
          <w:tcPr>
            <w:tcW w:w="2511" w:type="dxa"/>
            <w:shd w:val="clear" w:color="auto" w:fill="auto"/>
          </w:tcPr>
          <w:p w14:paraId="59D490A2" w14:textId="77777777" w:rsidR="00EA731E" w:rsidRPr="002E08FF" w:rsidRDefault="00EA731E" w:rsidP="008534E9">
            <w:pPr>
              <w:ind w:left="720" w:hanging="720"/>
              <w:jc w:val="center"/>
              <w:rPr>
                <w:rFonts w:eastAsia="Calibri"/>
              </w:rPr>
            </w:pPr>
            <w:r w:rsidRPr="002E08FF">
              <w:rPr>
                <w:rFonts w:eastAsia="Calibri"/>
              </w:rPr>
              <w:t>8.6%</w:t>
            </w:r>
          </w:p>
        </w:tc>
      </w:tr>
      <w:tr w:rsidR="00EA731E" w:rsidRPr="00915615" w14:paraId="0DC99668" w14:textId="77777777" w:rsidTr="008534E9">
        <w:trPr>
          <w:jc w:val="center"/>
        </w:trPr>
        <w:tc>
          <w:tcPr>
            <w:tcW w:w="4806" w:type="dxa"/>
            <w:shd w:val="clear" w:color="auto" w:fill="auto"/>
          </w:tcPr>
          <w:p w14:paraId="6073A9A7" w14:textId="77777777" w:rsidR="00EA731E" w:rsidRPr="002E08FF" w:rsidRDefault="00EA731E" w:rsidP="008534E9">
            <w:pPr>
              <w:ind w:left="720" w:hanging="720"/>
              <w:rPr>
                <w:rFonts w:eastAsia="Calibri"/>
              </w:rPr>
            </w:pPr>
            <w:r w:rsidRPr="002E08FF">
              <w:rPr>
                <w:rFonts w:eastAsia="Calibri"/>
              </w:rPr>
              <w:t>Two or More Races</w:t>
            </w:r>
          </w:p>
        </w:tc>
        <w:tc>
          <w:tcPr>
            <w:tcW w:w="2799" w:type="dxa"/>
            <w:shd w:val="clear" w:color="auto" w:fill="auto"/>
          </w:tcPr>
          <w:p w14:paraId="50405444" w14:textId="77777777" w:rsidR="00EA731E" w:rsidRPr="002E08FF" w:rsidRDefault="00EA731E" w:rsidP="008534E9">
            <w:pPr>
              <w:ind w:left="720" w:hanging="720"/>
              <w:jc w:val="center"/>
              <w:rPr>
                <w:rFonts w:eastAsia="Calibri"/>
              </w:rPr>
            </w:pPr>
            <w:r>
              <w:rPr>
                <w:rFonts w:eastAsia="Calibri"/>
              </w:rPr>
              <w:t>11,531</w:t>
            </w:r>
          </w:p>
        </w:tc>
        <w:tc>
          <w:tcPr>
            <w:tcW w:w="2511" w:type="dxa"/>
            <w:shd w:val="clear" w:color="auto" w:fill="auto"/>
          </w:tcPr>
          <w:p w14:paraId="4EEDA46C" w14:textId="77777777" w:rsidR="00EA731E" w:rsidRPr="002E08FF" w:rsidRDefault="00EA731E" w:rsidP="008534E9">
            <w:pPr>
              <w:ind w:left="720" w:hanging="720"/>
              <w:jc w:val="center"/>
              <w:rPr>
                <w:rFonts w:eastAsia="Calibri"/>
              </w:rPr>
            </w:pPr>
            <w:r w:rsidRPr="002E08FF">
              <w:rPr>
                <w:rFonts w:eastAsia="Calibri"/>
              </w:rPr>
              <w:t>6.</w:t>
            </w:r>
            <w:r>
              <w:rPr>
                <w:rFonts w:eastAsia="Calibri"/>
              </w:rPr>
              <w:t>7</w:t>
            </w:r>
            <w:r w:rsidRPr="002E08FF">
              <w:rPr>
                <w:rFonts w:eastAsia="Calibri"/>
              </w:rPr>
              <w:t>%</w:t>
            </w:r>
          </w:p>
        </w:tc>
      </w:tr>
      <w:tr w:rsidR="00EA731E" w:rsidRPr="00915615" w14:paraId="2615505F" w14:textId="77777777" w:rsidTr="008534E9">
        <w:trPr>
          <w:jc w:val="center"/>
        </w:trPr>
        <w:tc>
          <w:tcPr>
            <w:tcW w:w="4806" w:type="dxa"/>
            <w:shd w:val="clear" w:color="auto" w:fill="EDEDED"/>
          </w:tcPr>
          <w:p w14:paraId="099BDF16" w14:textId="77777777" w:rsidR="00EA731E" w:rsidRPr="002E08FF" w:rsidRDefault="00EA731E" w:rsidP="008534E9">
            <w:pPr>
              <w:rPr>
                <w:rFonts w:eastAsia="Calibri"/>
              </w:rPr>
            </w:pPr>
          </w:p>
        </w:tc>
        <w:tc>
          <w:tcPr>
            <w:tcW w:w="2799" w:type="dxa"/>
            <w:shd w:val="clear" w:color="auto" w:fill="EDEDED"/>
          </w:tcPr>
          <w:p w14:paraId="3BCA1786" w14:textId="77777777" w:rsidR="00EA731E" w:rsidRPr="002E08FF" w:rsidRDefault="00EA731E" w:rsidP="008534E9">
            <w:pPr>
              <w:ind w:left="720" w:hanging="720"/>
              <w:jc w:val="center"/>
              <w:rPr>
                <w:rFonts w:eastAsia="Calibri"/>
              </w:rPr>
            </w:pPr>
          </w:p>
        </w:tc>
        <w:tc>
          <w:tcPr>
            <w:tcW w:w="2511" w:type="dxa"/>
            <w:shd w:val="clear" w:color="auto" w:fill="EDEDED"/>
          </w:tcPr>
          <w:p w14:paraId="52F542ED" w14:textId="77777777" w:rsidR="00EA731E" w:rsidRPr="002E08FF" w:rsidRDefault="00EA731E" w:rsidP="008534E9">
            <w:pPr>
              <w:ind w:left="720" w:hanging="720"/>
              <w:jc w:val="center"/>
              <w:rPr>
                <w:rFonts w:eastAsia="Calibri"/>
              </w:rPr>
            </w:pPr>
          </w:p>
        </w:tc>
      </w:tr>
      <w:tr w:rsidR="00EA731E" w:rsidRPr="00915615" w14:paraId="26ADB15E" w14:textId="77777777" w:rsidTr="008534E9">
        <w:trPr>
          <w:jc w:val="center"/>
        </w:trPr>
        <w:tc>
          <w:tcPr>
            <w:tcW w:w="4806" w:type="dxa"/>
            <w:shd w:val="clear" w:color="auto" w:fill="auto"/>
          </w:tcPr>
          <w:p w14:paraId="1AB910ED" w14:textId="77777777" w:rsidR="00EA731E" w:rsidRPr="002E08FF" w:rsidRDefault="00EA731E" w:rsidP="008534E9">
            <w:pPr>
              <w:ind w:left="720" w:hanging="720"/>
              <w:rPr>
                <w:rFonts w:eastAsia="Calibri"/>
              </w:rPr>
            </w:pPr>
            <w:r w:rsidRPr="002E08FF">
              <w:rPr>
                <w:rFonts w:eastAsia="Calibri"/>
              </w:rPr>
              <w:t>No</w:t>
            </w:r>
            <w:r>
              <w:rPr>
                <w:rFonts w:eastAsia="Calibri"/>
              </w:rPr>
              <w:t xml:space="preserve">t </w:t>
            </w:r>
            <w:r w:rsidRPr="002E08FF">
              <w:rPr>
                <w:rFonts w:eastAsia="Calibri"/>
              </w:rPr>
              <w:t>Hispanic</w:t>
            </w:r>
            <w:r>
              <w:rPr>
                <w:rFonts w:eastAsia="Calibri"/>
              </w:rPr>
              <w:t xml:space="preserve"> or Latino</w:t>
            </w:r>
          </w:p>
        </w:tc>
        <w:tc>
          <w:tcPr>
            <w:tcW w:w="2799" w:type="dxa"/>
            <w:shd w:val="clear" w:color="auto" w:fill="auto"/>
          </w:tcPr>
          <w:p w14:paraId="48CB015B" w14:textId="77777777" w:rsidR="00EA731E" w:rsidRPr="002E08FF" w:rsidRDefault="00EA731E" w:rsidP="008534E9">
            <w:pPr>
              <w:ind w:left="720" w:hanging="720"/>
              <w:jc w:val="center"/>
              <w:rPr>
                <w:rFonts w:eastAsia="Calibri"/>
              </w:rPr>
            </w:pPr>
            <w:r>
              <w:rPr>
                <w:rFonts w:eastAsia="Calibri"/>
              </w:rPr>
              <w:t>119,047</w:t>
            </w:r>
          </w:p>
        </w:tc>
        <w:tc>
          <w:tcPr>
            <w:tcW w:w="2511" w:type="dxa"/>
            <w:shd w:val="clear" w:color="auto" w:fill="auto"/>
          </w:tcPr>
          <w:p w14:paraId="2EFFCECF" w14:textId="77777777" w:rsidR="00EA731E" w:rsidRPr="002E08FF" w:rsidRDefault="00EA731E" w:rsidP="008534E9">
            <w:pPr>
              <w:ind w:left="720" w:hanging="720"/>
              <w:jc w:val="center"/>
              <w:rPr>
                <w:rFonts w:eastAsia="Calibri"/>
              </w:rPr>
            </w:pPr>
            <w:r w:rsidRPr="002E08FF">
              <w:rPr>
                <w:rFonts w:eastAsia="Calibri"/>
              </w:rPr>
              <w:t>70.</w:t>
            </w:r>
            <w:r>
              <w:rPr>
                <w:rFonts w:eastAsia="Calibri"/>
              </w:rPr>
              <w:t>0</w:t>
            </w:r>
            <w:r w:rsidRPr="002E08FF">
              <w:rPr>
                <w:rFonts w:eastAsia="Calibri"/>
              </w:rPr>
              <w:t>%</w:t>
            </w:r>
          </w:p>
        </w:tc>
      </w:tr>
      <w:tr w:rsidR="00EA731E" w:rsidRPr="00915615" w14:paraId="6972E8C7" w14:textId="77777777" w:rsidTr="008534E9">
        <w:trPr>
          <w:jc w:val="center"/>
        </w:trPr>
        <w:tc>
          <w:tcPr>
            <w:tcW w:w="4806" w:type="dxa"/>
            <w:shd w:val="clear" w:color="auto" w:fill="auto"/>
          </w:tcPr>
          <w:p w14:paraId="707A38A4" w14:textId="77777777" w:rsidR="00EA731E" w:rsidRPr="002E08FF" w:rsidRDefault="00EA731E" w:rsidP="008534E9">
            <w:pPr>
              <w:ind w:left="720" w:hanging="720"/>
              <w:rPr>
                <w:rFonts w:eastAsia="Calibri"/>
              </w:rPr>
            </w:pPr>
            <w:r w:rsidRPr="002E08FF">
              <w:rPr>
                <w:rFonts w:eastAsia="Calibri"/>
              </w:rPr>
              <w:t>Hispanic</w:t>
            </w:r>
            <w:r>
              <w:rPr>
                <w:rFonts w:eastAsia="Calibri"/>
              </w:rPr>
              <w:t xml:space="preserve"> or Latino (of any race)</w:t>
            </w:r>
          </w:p>
        </w:tc>
        <w:tc>
          <w:tcPr>
            <w:tcW w:w="2799" w:type="dxa"/>
            <w:shd w:val="clear" w:color="auto" w:fill="auto"/>
          </w:tcPr>
          <w:p w14:paraId="1BDBCF16" w14:textId="77777777" w:rsidR="00EA731E" w:rsidRPr="002E08FF" w:rsidRDefault="00EA731E" w:rsidP="008534E9">
            <w:pPr>
              <w:ind w:left="720" w:hanging="720"/>
              <w:jc w:val="center"/>
              <w:rPr>
                <w:rFonts w:eastAsia="Calibri"/>
              </w:rPr>
            </w:pPr>
            <w:r>
              <w:rPr>
                <w:rFonts w:eastAsia="Calibri"/>
              </w:rPr>
              <w:t>50,791</w:t>
            </w:r>
          </w:p>
        </w:tc>
        <w:tc>
          <w:tcPr>
            <w:tcW w:w="2511" w:type="dxa"/>
            <w:shd w:val="clear" w:color="auto" w:fill="auto"/>
          </w:tcPr>
          <w:p w14:paraId="5AA43ADC" w14:textId="77777777" w:rsidR="00EA731E" w:rsidRPr="002E08FF" w:rsidRDefault="00EA731E" w:rsidP="008534E9">
            <w:pPr>
              <w:ind w:left="720" w:hanging="720"/>
              <w:jc w:val="center"/>
              <w:rPr>
                <w:rFonts w:eastAsia="Calibri"/>
              </w:rPr>
            </w:pPr>
            <w:r w:rsidRPr="002E08FF">
              <w:rPr>
                <w:rFonts w:eastAsia="Calibri"/>
              </w:rPr>
              <w:t>29.</w:t>
            </w:r>
            <w:r>
              <w:rPr>
                <w:rFonts w:eastAsia="Calibri"/>
              </w:rPr>
              <w:t>9</w:t>
            </w:r>
            <w:r w:rsidRPr="002E08FF">
              <w:rPr>
                <w:rFonts w:eastAsia="Calibri"/>
              </w:rPr>
              <w:t>%</w:t>
            </w:r>
          </w:p>
        </w:tc>
      </w:tr>
    </w:tbl>
    <w:p w14:paraId="785918D8" w14:textId="77777777" w:rsidR="00EA731E" w:rsidRDefault="00EA731E" w:rsidP="00AF0F1F">
      <w:pPr>
        <w:ind w:left="720" w:hanging="720"/>
        <w:jc w:val="both"/>
        <w:rPr>
          <w:i/>
          <w:iCs/>
        </w:rPr>
      </w:pPr>
      <w:r>
        <w:tab/>
      </w:r>
      <w:r w:rsidRPr="001C229E">
        <w:rPr>
          <w:i/>
          <w:iCs/>
          <w:sz w:val="18"/>
          <w:szCs w:val="18"/>
        </w:rPr>
        <w:t>(2019 ACS 5-Year Estimates Data Profiles; DP05</w:t>
      </w:r>
      <w:r>
        <w:rPr>
          <w:i/>
          <w:iCs/>
          <w:sz w:val="18"/>
          <w:szCs w:val="18"/>
        </w:rPr>
        <w:t>.</w:t>
      </w:r>
      <w:r w:rsidRPr="001C229E">
        <w:rPr>
          <w:i/>
          <w:iCs/>
          <w:sz w:val="18"/>
          <w:szCs w:val="18"/>
        </w:rPr>
        <w:t xml:space="preserve"> Population numbers include all Entitlement Jurisdictions listed in 5.1</w:t>
      </w:r>
      <w:r>
        <w:rPr>
          <w:i/>
          <w:iCs/>
          <w:sz w:val="18"/>
          <w:szCs w:val="18"/>
        </w:rPr>
        <w:t xml:space="preserve"> and individuals under five years old. It is estimated there are 11,803 individuals under five years old within the Marion County CDBG &amp; HOME Grant Program Service Area.</w:t>
      </w:r>
      <w:r w:rsidRPr="001C229E">
        <w:rPr>
          <w:i/>
          <w:iCs/>
          <w:sz w:val="18"/>
          <w:szCs w:val="18"/>
        </w:rPr>
        <w:t xml:space="preserve">) </w:t>
      </w:r>
    </w:p>
    <w:p w14:paraId="0D1B0EA8" w14:textId="77777777" w:rsidR="00EA731E" w:rsidRPr="001C229E" w:rsidRDefault="00EA731E" w:rsidP="00EA731E">
      <w:pPr>
        <w:rPr>
          <w:i/>
          <w:iCs/>
        </w:rPr>
      </w:pPr>
    </w:p>
    <w:p w14:paraId="620E03FE" w14:textId="77777777" w:rsidR="00EA731E" w:rsidRPr="00A54956" w:rsidRDefault="00EA731E" w:rsidP="00EA731E">
      <w:pPr>
        <w:numPr>
          <w:ilvl w:val="0"/>
          <w:numId w:val="2"/>
        </w:numPr>
        <w:ind w:hanging="720"/>
        <w:rPr>
          <w:u w:val="single"/>
        </w:rPr>
      </w:pPr>
      <w:r w:rsidRPr="00A54956">
        <w:rPr>
          <w:u w:val="single"/>
        </w:rPr>
        <w:t>Four-Factor Analysis</w:t>
      </w:r>
      <w:bookmarkEnd w:id="2"/>
    </w:p>
    <w:p w14:paraId="4EBC139F" w14:textId="77777777" w:rsidR="00EA731E" w:rsidRPr="00A54956" w:rsidRDefault="00EA731E" w:rsidP="00EA731E">
      <w:pPr>
        <w:ind w:hanging="720"/>
        <w:rPr>
          <w:lang w:eastAsia="ja-JP"/>
        </w:rPr>
      </w:pPr>
    </w:p>
    <w:p w14:paraId="20498744" w14:textId="332683E0" w:rsidR="00EA731E" w:rsidRDefault="00EA731E" w:rsidP="00AF0F1F">
      <w:pPr>
        <w:numPr>
          <w:ilvl w:val="1"/>
          <w:numId w:val="2"/>
        </w:numPr>
        <w:ind w:left="1152" w:hanging="720"/>
        <w:jc w:val="both"/>
      </w:pPr>
      <w:r w:rsidRPr="00915615">
        <w:t xml:space="preserve">Determination of what LEP services </w:t>
      </w:r>
      <w:r w:rsidR="00AF0F1F">
        <w:t>is</w:t>
      </w:r>
      <w:r>
        <w:t xml:space="preserve"> </w:t>
      </w:r>
      <w:r w:rsidRPr="00915615">
        <w:t xml:space="preserve">necessary should be based on the needs of the community to be served and a baseline of what languages are spoken by the LEP population. </w:t>
      </w:r>
    </w:p>
    <w:p w14:paraId="3FD700A3" w14:textId="77777777" w:rsidR="00EA731E" w:rsidRDefault="00EA731E" w:rsidP="00AF0F1F">
      <w:pPr>
        <w:ind w:left="720" w:hanging="720"/>
        <w:jc w:val="both"/>
      </w:pPr>
    </w:p>
    <w:p w14:paraId="36404B40" w14:textId="6DF03272" w:rsidR="00EA731E" w:rsidRDefault="00EA731E" w:rsidP="00AF0F1F">
      <w:pPr>
        <w:numPr>
          <w:ilvl w:val="2"/>
          <w:numId w:val="2"/>
        </w:numPr>
        <w:ind w:left="1584"/>
        <w:jc w:val="both"/>
      </w:pPr>
      <w:r>
        <w:t xml:space="preserve">The division </w:t>
      </w:r>
      <w:r w:rsidRPr="00915615">
        <w:t>should identify what documents are vital for the public to interact with the department.</w:t>
      </w:r>
      <w:r>
        <w:t xml:space="preserve"> </w:t>
      </w:r>
    </w:p>
    <w:p w14:paraId="5B93AE84" w14:textId="77777777" w:rsidR="00EA731E" w:rsidRDefault="00EA731E" w:rsidP="00AF0F1F">
      <w:pPr>
        <w:ind w:left="1080" w:hanging="720"/>
        <w:jc w:val="both"/>
      </w:pPr>
    </w:p>
    <w:p w14:paraId="4B9AD6BE" w14:textId="5FCB6C7D" w:rsidR="00EA731E" w:rsidRDefault="00EA731E" w:rsidP="00AF0F1F">
      <w:pPr>
        <w:numPr>
          <w:ilvl w:val="2"/>
          <w:numId w:val="2"/>
        </w:numPr>
        <w:ind w:left="1584"/>
        <w:jc w:val="both"/>
      </w:pPr>
      <w:r w:rsidRPr="00915615">
        <w:lastRenderedPageBreak/>
        <w:t xml:space="preserve">This baseline population and English proficiency analysis are key elements to determining what languages are </w:t>
      </w:r>
      <w:proofErr w:type="gramStart"/>
      <w:r w:rsidRPr="00915615">
        <w:t>most commonly used</w:t>
      </w:r>
      <w:proofErr w:type="gramEnd"/>
      <w:r w:rsidRPr="00915615">
        <w:t xml:space="preserve"> by LEP populations in the county and what translation services are necessary to ensure full access to county programs.</w:t>
      </w:r>
    </w:p>
    <w:p w14:paraId="0E2D1A3B" w14:textId="77777777" w:rsidR="00EA731E" w:rsidRDefault="00EA731E" w:rsidP="00AF0F1F">
      <w:pPr>
        <w:ind w:left="1080" w:hanging="720"/>
        <w:jc w:val="both"/>
      </w:pPr>
    </w:p>
    <w:p w14:paraId="73540FCA" w14:textId="77777777" w:rsidR="00EA731E" w:rsidRDefault="00EA731E" w:rsidP="00AF0F1F">
      <w:pPr>
        <w:numPr>
          <w:ilvl w:val="1"/>
          <w:numId w:val="2"/>
        </w:numPr>
        <w:ind w:left="1152" w:hanging="720"/>
        <w:jc w:val="both"/>
      </w:pPr>
      <w:r w:rsidRPr="00915615">
        <w:t xml:space="preserve">The U.S. Department of Justice (DOJ) recommends the following “Four Factor” analysis to determine if document translation needs to be performed to ensure meaningful participation or understanding of the </w:t>
      </w:r>
      <w:r>
        <w:t>department’s</w:t>
      </w:r>
      <w:r w:rsidRPr="00915615">
        <w:t xml:space="preserve"> program</w:t>
      </w:r>
      <w:r>
        <w:t>s.</w:t>
      </w:r>
    </w:p>
    <w:p w14:paraId="7AEEA7B9" w14:textId="77777777" w:rsidR="00EA731E" w:rsidRDefault="00EA731E" w:rsidP="00AF0F1F">
      <w:pPr>
        <w:ind w:hanging="720"/>
        <w:jc w:val="both"/>
      </w:pPr>
    </w:p>
    <w:p w14:paraId="30A5616A" w14:textId="77777777" w:rsidR="00EA731E" w:rsidRPr="00915615" w:rsidRDefault="00EA731E" w:rsidP="00AF0F1F">
      <w:pPr>
        <w:numPr>
          <w:ilvl w:val="0"/>
          <w:numId w:val="3"/>
        </w:numPr>
        <w:ind w:hanging="720"/>
        <w:jc w:val="both"/>
      </w:pPr>
      <w:r w:rsidRPr="00915615">
        <w:t>The number or proportion of LEP persons served or encountered in the eligible service population (the baseline</w:t>
      </w:r>
      <w:proofErr w:type="gramStart"/>
      <w:r w:rsidRPr="00915615">
        <w:t>);</w:t>
      </w:r>
      <w:proofErr w:type="gramEnd"/>
    </w:p>
    <w:p w14:paraId="5396E710" w14:textId="77777777" w:rsidR="00EA731E" w:rsidRDefault="00EA731E" w:rsidP="00AF0F1F">
      <w:pPr>
        <w:spacing w:after="200" w:line="276" w:lineRule="auto"/>
        <w:ind w:left="360" w:hanging="720"/>
        <w:contextualSpacing/>
        <w:jc w:val="both"/>
      </w:pPr>
    </w:p>
    <w:p w14:paraId="5F2B3C8F" w14:textId="77777777" w:rsidR="00EA731E" w:rsidRDefault="00EA731E" w:rsidP="00AF0F1F">
      <w:pPr>
        <w:numPr>
          <w:ilvl w:val="0"/>
          <w:numId w:val="3"/>
        </w:numPr>
        <w:spacing w:after="200" w:line="276" w:lineRule="auto"/>
        <w:ind w:hanging="720"/>
        <w:contextualSpacing/>
        <w:jc w:val="both"/>
      </w:pPr>
      <w:r w:rsidRPr="00915615">
        <w:t xml:space="preserve">The frequency with which LEP individuals come in contact with the </w:t>
      </w:r>
      <w:proofErr w:type="gramStart"/>
      <w:r w:rsidRPr="00915615">
        <w:t>program;</w:t>
      </w:r>
      <w:proofErr w:type="gramEnd"/>
    </w:p>
    <w:p w14:paraId="18BF1B6F" w14:textId="77777777" w:rsidR="00EA731E" w:rsidRDefault="00EA731E" w:rsidP="00AF0F1F">
      <w:pPr>
        <w:spacing w:after="200" w:line="276" w:lineRule="auto"/>
        <w:ind w:hanging="720"/>
        <w:contextualSpacing/>
        <w:jc w:val="both"/>
      </w:pPr>
    </w:p>
    <w:p w14:paraId="768C30DC" w14:textId="77777777" w:rsidR="00EA731E" w:rsidRDefault="00EA731E" w:rsidP="00AF0F1F">
      <w:pPr>
        <w:numPr>
          <w:ilvl w:val="0"/>
          <w:numId w:val="3"/>
        </w:numPr>
        <w:spacing w:after="200" w:line="276" w:lineRule="auto"/>
        <w:ind w:hanging="720"/>
        <w:contextualSpacing/>
        <w:jc w:val="both"/>
      </w:pPr>
      <w:r w:rsidRPr="00915615">
        <w:t>The nature and importance of the program, activity, or service provided by the program</w:t>
      </w:r>
      <w:r>
        <w:t>;</w:t>
      </w:r>
      <w:r w:rsidRPr="00915615">
        <w:t xml:space="preserve"> and</w:t>
      </w:r>
      <w:r>
        <w:t>,</w:t>
      </w:r>
    </w:p>
    <w:p w14:paraId="7B3B6952" w14:textId="77777777" w:rsidR="00EA731E" w:rsidRPr="00915615" w:rsidRDefault="00EA731E" w:rsidP="00AF0F1F">
      <w:pPr>
        <w:spacing w:after="200" w:line="276" w:lineRule="auto"/>
        <w:ind w:hanging="720"/>
        <w:contextualSpacing/>
        <w:jc w:val="both"/>
      </w:pPr>
    </w:p>
    <w:p w14:paraId="3144634E" w14:textId="77777777" w:rsidR="00EA731E" w:rsidRPr="00915615" w:rsidRDefault="00EA731E" w:rsidP="00AF0F1F">
      <w:pPr>
        <w:numPr>
          <w:ilvl w:val="0"/>
          <w:numId w:val="3"/>
        </w:numPr>
        <w:spacing w:after="200" w:line="276" w:lineRule="auto"/>
        <w:ind w:hanging="720"/>
        <w:contextualSpacing/>
        <w:jc w:val="both"/>
      </w:pPr>
      <w:r w:rsidRPr="00915615">
        <w:t xml:space="preserve">The resources available to the recipient, and </w:t>
      </w:r>
      <w:r>
        <w:t xml:space="preserve">the </w:t>
      </w:r>
      <w:r w:rsidRPr="00915615">
        <w:t>costs.</w:t>
      </w:r>
    </w:p>
    <w:p w14:paraId="27A26C32" w14:textId="77777777" w:rsidR="00EA731E" w:rsidRPr="00915615" w:rsidRDefault="00EA731E" w:rsidP="00AF0F1F">
      <w:pPr>
        <w:ind w:left="720" w:hanging="720"/>
        <w:contextualSpacing/>
        <w:jc w:val="both"/>
      </w:pPr>
    </w:p>
    <w:p w14:paraId="1D1D913C" w14:textId="77777777" w:rsidR="00EA731E" w:rsidRPr="00C921BC" w:rsidRDefault="00EA731E" w:rsidP="00AF0F1F">
      <w:pPr>
        <w:numPr>
          <w:ilvl w:val="1"/>
          <w:numId w:val="2"/>
        </w:numPr>
        <w:ind w:left="1152" w:hanging="720"/>
        <w:jc w:val="both"/>
        <w:rPr>
          <w:b/>
        </w:rPr>
      </w:pPr>
      <w:bookmarkStart w:id="3" w:name="_Toc88130796"/>
      <w:r w:rsidRPr="00A54956">
        <w:rPr>
          <w:b/>
        </w:rPr>
        <w:t>Factor One – Identification of LEP Persons Who Need Language Assistance</w:t>
      </w:r>
      <w:bookmarkEnd w:id="3"/>
    </w:p>
    <w:p w14:paraId="125960D3" w14:textId="77777777" w:rsidR="00EA731E" w:rsidRDefault="00EA731E" w:rsidP="00AF0F1F">
      <w:pPr>
        <w:ind w:hanging="720"/>
        <w:jc w:val="both"/>
      </w:pPr>
      <w:bookmarkStart w:id="4" w:name="_Toc88130797"/>
    </w:p>
    <w:p w14:paraId="09E430B5" w14:textId="0D90CED1" w:rsidR="00EA731E" w:rsidRDefault="00EA731E" w:rsidP="00AF0F1F">
      <w:pPr>
        <w:numPr>
          <w:ilvl w:val="2"/>
          <w:numId w:val="2"/>
        </w:numPr>
        <w:ind w:left="1584"/>
        <w:jc w:val="both"/>
        <w:rPr>
          <w:i/>
          <w:lang w:eastAsia="ja-JP"/>
        </w:rPr>
      </w:pPr>
      <w:r>
        <w:t xml:space="preserve">This analysis includes only the incorporated cities in Marion County participating in the Marion County CDBG &amp; HOME Grant Program. Within the Marion County CDBG &amp; HOME Grant Program Service Area, </w:t>
      </w:r>
      <w:r>
        <w:rPr>
          <w:lang w:eastAsia="ja-JP"/>
        </w:rPr>
        <w:t>t</w:t>
      </w:r>
      <w:r w:rsidRPr="00A54956">
        <w:rPr>
          <w:lang w:eastAsia="ja-JP"/>
        </w:rPr>
        <w:t>h</w:t>
      </w:r>
      <w:r>
        <w:rPr>
          <w:lang w:eastAsia="ja-JP"/>
        </w:rPr>
        <w:t xml:space="preserve">e estimated population of persons 5 years and older is </w:t>
      </w:r>
      <w:r w:rsidRPr="00795BED">
        <w:rPr>
          <w:lang w:eastAsia="ja-JP"/>
        </w:rPr>
        <w:t>158,</w:t>
      </w:r>
      <w:r>
        <w:rPr>
          <w:lang w:eastAsia="ja-JP"/>
        </w:rPr>
        <w:t>062. Of those 5 years and older, 112,565</w:t>
      </w:r>
      <w:r w:rsidRPr="00A54956">
        <w:rPr>
          <w:lang w:eastAsia="ja-JP"/>
        </w:rPr>
        <w:t xml:space="preserve"> speak only English and an estimated </w:t>
      </w:r>
      <w:r>
        <w:rPr>
          <w:lang w:eastAsia="ja-JP"/>
        </w:rPr>
        <w:t>45,524</w:t>
      </w:r>
      <w:r w:rsidRPr="00A54956">
        <w:rPr>
          <w:lang w:eastAsia="ja-JP"/>
        </w:rPr>
        <w:t xml:space="preserve"> speak a language other than English</w:t>
      </w:r>
      <w:r w:rsidRPr="00A54956">
        <w:rPr>
          <w:i/>
          <w:lang w:eastAsia="ja-JP"/>
        </w:rPr>
        <w:t xml:space="preserve">. </w:t>
      </w:r>
    </w:p>
    <w:p w14:paraId="122D501F" w14:textId="77777777" w:rsidR="00EA731E" w:rsidRPr="00A54956" w:rsidRDefault="00EA731E" w:rsidP="00EA731E">
      <w:pPr>
        <w:ind w:left="1080" w:hanging="720"/>
        <w:rPr>
          <w:i/>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057"/>
        <w:gridCol w:w="1745"/>
        <w:gridCol w:w="2057"/>
        <w:gridCol w:w="2229"/>
      </w:tblGrid>
      <w:tr w:rsidR="00EA731E" w:rsidRPr="00915615" w14:paraId="2E488248" w14:textId="77777777" w:rsidTr="008534E9">
        <w:trPr>
          <w:jc w:val="center"/>
        </w:trPr>
        <w:tc>
          <w:tcPr>
            <w:tcW w:w="10440" w:type="dxa"/>
            <w:gridSpan w:val="5"/>
            <w:shd w:val="clear" w:color="auto" w:fill="EDEDED"/>
          </w:tcPr>
          <w:p w14:paraId="6F6769DC" w14:textId="77777777" w:rsidR="00EA731E" w:rsidRPr="002E08FF" w:rsidRDefault="00EA731E" w:rsidP="008534E9">
            <w:pPr>
              <w:ind w:left="720" w:hanging="720"/>
              <w:jc w:val="center"/>
              <w:rPr>
                <w:b/>
                <w:lang w:eastAsia="ja-JP"/>
              </w:rPr>
            </w:pPr>
            <w:r w:rsidRPr="002E08FF">
              <w:rPr>
                <w:b/>
                <w:lang w:eastAsia="ja-JP"/>
              </w:rPr>
              <w:t>Language Spoken at Home</w:t>
            </w:r>
          </w:p>
          <w:p w14:paraId="6D550A64" w14:textId="77777777" w:rsidR="00EA731E" w:rsidRPr="00A54956" w:rsidRDefault="00EA731E" w:rsidP="008534E9">
            <w:pPr>
              <w:ind w:left="720" w:hanging="720"/>
              <w:jc w:val="center"/>
              <w:rPr>
                <w:lang w:eastAsia="ja-JP"/>
              </w:rPr>
            </w:pPr>
            <w:r>
              <w:rPr>
                <w:lang w:eastAsia="ja-JP"/>
              </w:rPr>
              <w:t>*</w:t>
            </w:r>
            <w:r w:rsidRPr="00A54956">
              <w:rPr>
                <w:lang w:eastAsia="ja-JP"/>
              </w:rPr>
              <w:t xml:space="preserve">Marion County </w:t>
            </w:r>
            <w:r>
              <w:rPr>
                <w:lang w:eastAsia="ja-JP"/>
              </w:rPr>
              <w:t xml:space="preserve">CDBG &amp; HOME Service Area </w:t>
            </w:r>
          </w:p>
          <w:p w14:paraId="727C86B3" w14:textId="77777777" w:rsidR="00EA731E" w:rsidRPr="002E08FF" w:rsidRDefault="00EA731E" w:rsidP="008534E9">
            <w:pPr>
              <w:ind w:left="720" w:hanging="720"/>
              <w:jc w:val="center"/>
              <w:rPr>
                <w:b/>
                <w:lang w:eastAsia="ja-JP"/>
              </w:rPr>
            </w:pPr>
            <w:r w:rsidRPr="00A54956">
              <w:rPr>
                <w:lang w:eastAsia="ja-JP"/>
              </w:rPr>
              <w:t xml:space="preserve">2019 Five-Year ACS; Population </w:t>
            </w:r>
            <w:r>
              <w:rPr>
                <w:lang w:eastAsia="ja-JP"/>
              </w:rPr>
              <w:t>5</w:t>
            </w:r>
            <w:r w:rsidRPr="00A54956">
              <w:rPr>
                <w:lang w:eastAsia="ja-JP"/>
              </w:rPr>
              <w:t xml:space="preserve"> years and older</w:t>
            </w:r>
          </w:p>
        </w:tc>
      </w:tr>
      <w:tr w:rsidR="00EA731E" w:rsidRPr="00915615" w14:paraId="7F6B8AEF" w14:textId="77777777" w:rsidTr="008534E9">
        <w:trPr>
          <w:jc w:val="center"/>
        </w:trPr>
        <w:tc>
          <w:tcPr>
            <w:tcW w:w="2214" w:type="dxa"/>
            <w:shd w:val="clear" w:color="auto" w:fill="auto"/>
            <w:vAlign w:val="center"/>
          </w:tcPr>
          <w:p w14:paraId="2EBAC45F" w14:textId="77777777" w:rsidR="00EA731E" w:rsidRPr="002E08FF" w:rsidRDefault="00EA731E" w:rsidP="008534E9">
            <w:pPr>
              <w:ind w:left="720" w:hanging="720"/>
              <w:jc w:val="center"/>
              <w:rPr>
                <w:b/>
                <w:lang w:eastAsia="ja-JP"/>
              </w:rPr>
            </w:pPr>
            <w:r w:rsidRPr="002E08FF">
              <w:rPr>
                <w:b/>
                <w:lang w:eastAsia="ja-JP"/>
              </w:rPr>
              <w:t>Language Group</w:t>
            </w:r>
          </w:p>
        </w:tc>
        <w:tc>
          <w:tcPr>
            <w:tcW w:w="2014" w:type="dxa"/>
            <w:shd w:val="clear" w:color="auto" w:fill="auto"/>
            <w:vAlign w:val="center"/>
          </w:tcPr>
          <w:p w14:paraId="4E0C3D8A" w14:textId="77777777" w:rsidR="00EA731E" w:rsidRPr="002E08FF" w:rsidRDefault="00EA731E" w:rsidP="008534E9">
            <w:pPr>
              <w:ind w:left="720" w:hanging="720"/>
              <w:jc w:val="center"/>
              <w:rPr>
                <w:b/>
                <w:lang w:eastAsia="ja-JP"/>
              </w:rPr>
            </w:pPr>
            <w:r w:rsidRPr="002E08FF">
              <w:rPr>
                <w:b/>
                <w:lang w:eastAsia="ja-JP"/>
              </w:rPr>
              <w:t>Total Population</w:t>
            </w:r>
          </w:p>
        </w:tc>
        <w:tc>
          <w:tcPr>
            <w:tcW w:w="1817" w:type="dxa"/>
          </w:tcPr>
          <w:p w14:paraId="46A1A67B" w14:textId="77777777" w:rsidR="00EA731E" w:rsidRPr="0060513E" w:rsidRDefault="00EA731E" w:rsidP="008534E9">
            <w:pPr>
              <w:jc w:val="center"/>
              <w:rPr>
                <w:b/>
                <w:bCs/>
                <w:lang w:eastAsia="ja-JP"/>
              </w:rPr>
            </w:pPr>
            <w:r w:rsidRPr="0060513E">
              <w:rPr>
                <w:b/>
                <w:bCs/>
                <w:lang w:eastAsia="ja-JP"/>
              </w:rPr>
              <w:t>Percent of</w:t>
            </w:r>
          </w:p>
          <w:p w14:paraId="427CA43C" w14:textId="77777777" w:rsidR="00EA731E" w:rsidRPr="002E08FF" w:rsidRDefault="00EA731E" w:rsidP="008534E9">
            <w:pPr>
              <w:jc w:val="center"/>
              <w:rPr>
                <w:lang w:eastAsia="ja-JP"/>
              </w:rPr>
            </w:pPr>
            <w:r w:rsidRPr="0060513E">
              <w:rPr>
                <w:b/>
                <w:bCs/>
                <w:lang w:eastAsia="ja-JP"/>
              </w:rPr>
              <w:t>Total Population</w:t>
            </w:r>
          </w:p>
        </w:tc>
        <w:tc>
          <w:tcPr>
            <w:tcW w:w="2014" w:type="dxa"/>
            <w:shd w:val="clear" w:color="auto" w:fill="auto"/>
            <w:vAlign w:val="center"/>
          </w:tcPr>
          <w:p w14:paraId="42B56CAF" w14:textId="77777777" w:rsidR="00EA731E" w:rsidRDefault="00EA731E" w:rsidP="008534E9">
            <w:pPr>
              <w:ind w:left="720" w:hanging="720"/>
              <w:jc w:val="center"/>
              <w:rPr>
                <w:b/>
                <w:lang w:eastAsia="ja-JP"/>
              </w:rPr>
            </w:pPr>
            <w:r w:rsidRPr="002E08FF">
              <w:rPr>
                <w:b/>
                <w:lang w:eastAsia="ja-JP"/>
              </w:rPr>
              <w:t>LEP Population</w:t>
            </w:r>
          </w:p>
          <w:p w14:paraId="45175C13" w14:textId="77777777" w:rsidR="00EA731E" w:rsidRPr="001E79B7" w:rsidRDefault="00EA731E" w:rsidP="008534E9">
            <w:pPr>
              <w:jc w:val="center"/>
              <w:rPr>
                <w:lang w:eastAsia="ja-JP"/>
              </w:rPr>
            </w:pPr>
            <w:r w:rsidRPr="0060513E">
              <w:rPr>
                <w:sz w:val="14"/>
                <w:szCs w:val="14"/>
                <w:lang w:eastAsia="ja-JP"/>
              </w:rPr>
              <w:t>(Speak English less than “very well”)</w:t>
            </w:r>
          </w:p>
        </w:tc>
        <w:tc>
          <w:tcPr>
            <w:tcW w:w="2381" w:type="dxa"/>
            <w:shd w:val="clear" w:color="auto" w:fill="auto"/>
          </w:tcPr>
          <w:p w14:paraId="2C343153" w14:textId="77777777" w:rsidR="00EA731E" w:rsidRPr="0060513E" w:rsidRDefault="00EA731E" w:rsidP="008534E9">
            <w:pPr>
              <w:jc w:val="center"/>
              <w:rPr>
                <w:b/>
                <w:bCs/>
                <w:lang w:eastAsia="ja-JP"/>
              </w:rPr>
            </w:pPr>
            <w:r w:rsidRPr="0060513E">
              <w:rPr>
                <w:b/>
                <w:bCs/>
                <w:lang w:eastAsia="ja-JP"/>
              </w:rPr>
              <w:t>Percent LEP Population</w:t>
            </w:r>
          </w:p>
          <w:p w14:paraId="6955109F" w14:textId="77777777" w:rsidR="00EA731E" w:rsidRPr="002E08FF" w:rsidRDefault="00EA731E" w:rsidP="008534E9">
            <w:pPr>
              <w:ind w:left="720" w:hanging="720"/>
              <w:jc w:val="center"/>
              <w:rPr>
                <w:b/>
                <w:lang w:eastAsia="ja-JP"/>
              </w:rPr>
            </w:pPr>
            <w:r w:rsidRPr="0060513E">
              <w:rPr>
                <w:bCs/>
                <w:i/>
                <w:iCs/>
                <w:sz w:val="14"/>
                <w:szCs w:val="14"/>
                <w:lang w:eastAsia="ja-JP"/>
              </w:rPr>
              <w:t>(Speak English less than “very well”)</w:t>
            </w:r>
          </w:p>
        </w:tc>
      </w:tr>
      <w:tr w:rsidR="00EA731E" w:rsidRPr="00915615" w14:paraId="00CF07C8" w14:textId="77777777" w:rsidTr="008534E9">
        <w:trPr>
          <w:trHeight w:val="432"/>
          <w:jc w:val="center"/>
        </w:trPr>
        <w:tc>
          <w:tcPr>
            <w:tcW w:w="2214" w:type="dxa"/>
            <w:shd w:val="clear" w:color="auto" w:fill="auto"/>
            <w:vAlign w:val="center"/>
          </w:tcPr>
          <w:p w14:paraId="5BBDF799" w14:textId="77777777" w:rsidR="00EA731E" w:rsidRPr="00A54956" w:rsidRDefault="00EA731E" w:rsidP="008534E9">
            <w:pPr>
              <w:ind w:left="720" w:hanging="720"/>
              <w:rPr>
                <w:lang w:eastAsia="ja-JP"/>
              </w:rPr>
            </w:pPr>
            <w:r w:rsidRPr="00A54956">
              <w:rPr>
                <w:lang w:eastAsia="ja-JP"/>
              </w:rPr>
              <w:t>Sp</w:t>
            </w:r>
            <w:r w:rsidRPr="0060513E">
              <w:t>anish</w:t>
            </w:r>
          </w:p>
        </w:tc>
        <w:tc>
          <w:tcPr>
            <w:tcW w:w="2014" w:type="dxa"/>
            <w:shd w:val="clear" w:color="auto" w:fill="auto"/>
            <w:vAlign w:val="center"/>
          </w:tcPr>
          <w:p w14:paraId="21D07D54" w14:textId="77777777" w:rsidR="00EA731E" w:rsidRPr="00A54956" w:rsidRDefault="00EA731E" w:rsidP="008534E9">
            <w:pPr>
              <w:ind w:left="720" w:hanging="720"/>
              <w:jc w:val="center"/>
              <w:rPr>
                <w:lang w:eastAsia="ja-JP"/>
              </w:rPr>
            </w:pPr>
            <w:r>
              <w:rPr>
                <w:lang w:eastAsia="ja-JP"/>
              </w:rPr>
              <w:t>38,184</w:t>
            </w:r>
          </w:p>
        </w:tc>
        <w:tc>
          <w:tcPr>
            <w:tcW w:w="1817" w:type="dxa"/>
          </w:tcPr>
          <w:p w14:paraId="5664C3B3" w14:textId="77777777" w:rsidR="00EA731E" w:rsidRPr="00A54956" w:rsidRDefault="00EA731E" w:rsidP="008534E9">
            <w:pPr>
              <w:ind w:left="720" w:hanging="720"/>
              <w:jc w:val="center"/>
              <w:rPr>
                <w:lang w:eastAsia="ja-JP"/>
              </w:rPr>
            </w:pPr>
            <w:r>
              <w:rPr>
                <w:lang w:eastAsia="ja-JP"/>
              </w:rPr>
              <w:t>24.15%</w:t>
            </w:r>
          </w:p>
        </w:tc>
        <w:tc>
          <w:tcPr>
            <w:tcW w:w="2014" w:type="dxa"/>
            <w:shd w:val="clear" w:color="auto" w:fill="auto"/>
            <w:vAlign w:val="center"/>
          </w:tcPr>
          <w:p w14:paraId="72B48F1A" w14:textId="77777777" w:rsidR="00EA731E" w:rsidRPr="00A54956" w:rsidRDefault="00EA731E" w:rsidP="008534E9">
            <w:pPr>
              <w:ind w:left="720" w:hanging="720"/>
              <w:jc w:val="center"/>
              <w:rPr>
                <w:lang w:eastAsia="ja-JP"/>
              </w:rPr>
            </w:pPr>
            <w:r>
              <w:rPr>
                <w:lang w:eastAsia="ja-JP"/>
              </w:rPr>
              <w:t>16,460</w:t>
            </w:r>
          </w:p>
        </w:tc>
        <w:tc>
          <w:tcPr>
            <w:tcW w:w="2381" w:type="dxa"/>
            <w:shd w:val="clear" w:color="auto" w:fill="auto"/>
          </w:tcPr>
          <w:p w14:paraId="13E2D9ED" w14:textId="77777777" w:rsidR="00EA731E" w:rsidRPr="00A54956" w:rsidRDefault="00EA731E" w:rsidP="008534E9">
            <w:pPr>
              <w:ind w:left="720" w:hanging="720"/>
              <w:jc w:val="center"/>
              <w:rPr>
                <w:lang w:eastAsia="ja-JP"/>
              </w:rPr>
            </w:pPr>
            <w:r>
              <w:rPr>
                <w:lang w:eastAsia="ja-JP"/>
              </w:rPr>
              <w:t>10.41%</w:t>
            </w:r>
          </w:p>
        </w:tc>
      </w:tr>
      <w:tr w:rsidR="00EA731E" w:rsidRPr="00915615" w14:paraId="1BB3BFD8" w14:textId="77777777" w:rsidTr="008534E9">
        <w:trPr>
          <w:trHeight w:val="485"/>
          <w:jc w:val="center"/>
        </w:trPr>
        <w:tc>
          <w:tcPr>
            <w:tcW w:w="2214" w:type="dxa"/>
            <w:shd w:val="clear" w:color="auto" w:fill="auto"/>
            <w:vAlign w:val="center"/>
          </w:tcPr>
          <w:p w14:paraId="216A3D5A" w14:textId="77777777" w:rsidR="00EA731E" w:rsidRPr="00A54956" w:rsidRDefault="00EA731E" w:rsidP="008534E9">
            <w:pPr>
              <w:rPr>
                <w:lang w:eastAsia="ja-JP"/>
              </w:rPr>
            </w:pPr>
            <w:r w:rsidRPr="00C5260D">
              <w:rPr>
                <w:lang w:eastAsia="ja-JP"/>
              </w:rPr>
              <w:t xml:space="preserve">Other Indo-European languages </w:t>
            </w:r>
          </w:p>
        </w:tc>
        <w:tc>
          <w:tcPr>
            <w:tcW w:w="2014" w:type="dxa"/>
            <w:shd w:val="clear" w:color="auto" w:fill="auto"/>
            <w:vAlign w:val="center"/>
          </w:tcPr>
          <w:p w14:paraId="03C07A4B" w14:textId="77777777" w:rsidR="00EA731E" w:rsidRDefault="00EA731E" w:rsidP="008534E9">
            <w:pPr>
              <w:ind w:left="720" w:hanging="720"/>
              <w:jc w:val="center"/>
              <w:rPr>
                <w:lang w:eastAsia="ja-JP"/>
              </w:rPr>
            </w:pPr>
            <w:r>
              <w:rPr>
                <w:lang w:eastAsia="ja-JP"/>
              </w:rPr>
              <w:t>4,783</w:t>
            </w:r>
          </w:p>
        </w:tc>
        <w:tc>
          <w:tcPr>
            <w:tcW w:w="1817" w:type="dxa"/>
          </w:tcPr>
          <w:p w14:paraId="0A205100" w14:textId="77777777" w:rsidR="00EA731E" w:rsidRPr="00A54956" w:rsidRDefault="00EA731E" w:rsidP="008534E9">
            <w:pPr>
              <w:ind w:left="720" w:hanging="720"/>
              <w:jc w:val="center"/>
              <w:rPr>
                <w:lang w:eastAsia="ja-JP"/>
              </w:rPr>
            </w:pPr>
            <w:r>
              <w:rPr>
                <w:lang w:eastAsia="ja-JP"/>
              </w:rPr>
              <w:t>3.02%</w:t>
            </w:r>
          </w:p>
        </w:tc>
        <w:tc>
          <w:tcPr>
            <w:tcW w:w="2014" w:type="dxa"/>
            <w:shd w:val="clear" w:color="auto" w:fill="auto"/>
            <w:vAlign w:val="center"/>
          </w:tcPr>
          <w:p w14:paraId="14D01C3F" w14:textId="77777777" w:rsidR="00EA731E" w:rsidRDefault="00EA731E" w:rsidP="008534E9">
            <w:pPr>
              <w:ind w:left="720" w:hanging="720"/>
              <w:jc w:val="center"/>
              <w:rPr>
                <w:lang w:eastAsia="ja-JP"/>
              </w:rPr>
            </w:pPr>
            <w:r>
              <w:rPr>
                <w:lang w:eastAsia="ja-JP"/>
              </w:rPr>
              <w:t>1,293</w:t>
            </w:r>
          </w:p>
        </w:tc>
        <w:tc>
          <w:tcPr>
            <w:tcW w:w="2381" w:type="dxa"/>
            <w:shd w:val="clear" w:color="auto" w:fill="auto"/>
          </w:tcPr>
          <w:p w14:paraId="0ED8514D" w14:textId="77777777" w:rsidR="00EA731E" w:rsidRPr="00A54956" w:rsidRDefault="00EA731E" w:rsidP="008534E9">
            <w:pPr>
              <w:ind w:left="720" w:hanging="720"/>
              <w:jc w:val="center"/>
              <w:rPr>
                <w:lang w:eastAsia="ja-JP"/>
              </w:rPr>
            </w:pPr>
            <w:r>
              <w:rPr>
                <w:lang w:eastAsia="ja-JP"/>
              </w:rPr>
              <w:t>0.81%</w:t>
            </w:r>
          </w:p>
        </w:tc>
      </w:tr>
      <w:tr w:rsidR="00EA731E" w:rsidRPr="00915615" w14:paraId="11E591AE" w14:textId="77777777" w:rsidTr="008534E9">
        <w:trPr>
          <w:trHeight w:val="485"/>
          <w:jc w:val="center"/>
        </w:trPr>
        <w:tc>
          <w:tcPr>
            <w:tcW w:w="2214" w:type="dxa"/>
            <w:shd w:val="clear" w:color="auto" w:fill="auto"/>
            <w:vAlign w:val="center"/>
          </w:tcPr>
          <w:p w14:paraId="59D37A87" w14:textId="77777777" w:rsidR="00EA731E" w:rsidRPr="00A54956" w:rsidRDefault="00EA731E" w:rsidP="008534E9">
            <w:pPr>
              <w:rPr>
                <w:lang w:eastAsia="ja-JP"/>
              </w:rPr>
            </w:pPr>
            <w:r w:rsidRPr="00C5260D">
              <w:rPr>
                <w:lang w:eastAsia="ja-JP"/>
              </w:rPr>
              <w:t xml:space="preserve">Asian and Pacific Island languages </w:t>
            </w:r>
          </w:p>
        </w:tc>
        <w:tc>
          <w:tcPr>
            <w:tcW w:w="2014" w:type="dxa"/>
            <w:shd w:val="clear" w:color="auto" w:fill="auto"/>
            <w:vAlign w:val="center"/>
          </w:tcPr>
          <w:p w14:paraId="21105FF4" w14:textId="77777777" w:rsidR="00EA731E" w:rsidRDefault="00EA731E" w:rsidP="008534E9">
            <w:pPr>
              <w:ind w:left="720" w:hanging="720"/>
              <w:jc w:val="center"/>
              <w:rPr>
                <w:lang w:eastAsia="ja-JP"/>
              </w:rPr>
            </w:pPr>
            <w:r>
              <w:rPr>
                <w:lang w:eastAsia="ja-JP"/>
              </w:rPr>
              <w:t>2,350</w:t>
            </w:r>
          </w:p>
        </w:tc>
        <w:tc>
          <w:tcPr>
            <w:tcW w:w="1817" w:type="dxa"/>
          </w:tcPr>
          <w:p w14:paraId="0C3DD9C7" w14:textId="77777777" w:rsidR="00EA731E" w:rsidRPr="00A54956" w:rsidRDefault="00EA731E" w:rsidP="008534E9">
            <w:pPr>
              <w:ind w:left="720" w:hanging="720"/>
              <w:jc w:val="center"/>
              <w:rPr>
                <w:lang w:eastAsia="ja-JP"/>
              </w:rPr>
            </w:pPr>
            <w:r>
              <w:rPr>
                <w:lang w:eastAsia="ja-JP"/>
              </w:rPr>
              <w:t>1.48%</w:t>
            </w:r>
          </w:p>
        </w:tc>
        <w:tc>
          <w:tcPr>
            <w:tcW w:w="2014" w:type="dxa"/>
            <w:shd w:val="clear" w:color="auto" w:fill="auto"/>
            <w:vAlign w:val="center"/>
          </w:tcPr>
          <w:p w14:paraId="3BD85B5E" w14:textId="77777777" w:rsidR="00EA731E" w:rsidRDefault="00EA731E" w:rsidP="008534E9">
            <w:pPr>
              <w:ind w:left="720" w:hanging="720"/>
              <w:jc w:val="center"/>
              <w:rPr>
                <w:lang w:eastAsia="ja-JP"/>
              </w:rPr>
            </w:pPr>
            <w:r>
              <w:rPr>
                <w:lang w:eastAsia="ja-JP"/>
              </w:rPr>
              <w:t>822</w:t>
            </w:r>
          </w:p>
        </w:tc>
        <w:tc>
          <w:tcPr>
            <w:tcW w:w="2381" w:type="dxa"/>
            <w:shd w:val="clear" w:color="auto" w:fill="auto"/>
          </w:tcPr>
          <w:p w14:paraId="76360833" w14:textId="77777777" w:rsidR="00EA731E" w:rsidRPr="00A54956" w:rsidRDefault="00EA731E" w:rsidP="008534E9">
            <w:pPr>
              <w:ind w:left="720" w:hanging="720"/>
              <w:jc w:val="center"/>
              <w:rPr>
                <w:lang w:eastAsia="ja-JP"/>
              </w:rPr>
            </w:pPr>
            <w:r>
              <w:rPr>
                <w:lang w:eastAsia="ja-JP"/>
              </w:rPr>
              <w:t>0.52%</w:t>
            </w:r>
          </w:p>
        </w:tc>
      </w:tr>
      <w:tr w:rsidR="00EA731E" w:rsidRPr="00915615" w14:paraId="00C2ED81" w14:textId="77777777" w:rsidTr="008534E9">
        <w:trPr>
          <w:trHeight w:val="485"/>
          <w:jc w:val="center"/>
        </w:trPr>
        <w:tc>
          <w:tcPr>
            <w:tcW w:w="2214" w:type="dxa"/>
            <w:shd w:val="clear" w:color="auto" w:fill="auto"/>
            <w:vAlign w:val="center"/>
          </w:tcPr>
          <w:p w14:paraId="2F126B25" w14:textId="77777777" w:rsidR="00EA731E" w:rsidRPr="00A54956" w:rsidRDefault="00EA731E" w:rsidP="008534E9">
            <w:pPr>
              <w:rPr>
                <w:lang w:eastAsia="ja-JP"/>
              </w:rPr>
            </w:pPr>
            <w:r w:rsidRPr="00A54956">
              <w:rPr>
                <w:lang w:eastAsia="ja-JP"/>
              </w:rPr>
              <w:t xml:space="preserve">Other </w:t>
            </w:r>
            <w:r>
              <w:rPr>
                <w:lang w:eastAsia="ja-JP"/>
              </w:rPr>
              <w:t xml:space="preserve">languages </w:t>
            </w:r>
          </w:p>
        </w:tc>
        <w:tc>
          <w:tcPr>
            <w:tcW w:w="2014" w:type="dxa"/>
            <w:shd w:val="clear" w:color="auto" w:fill="auto"/>
            <w:vAlign w:val="center"/>
          </w:tcPr>
          <w:p w14:paraId="70A5475A" w14:textId="77777777" w:rsidR="00EA731E" w:rsidRPr="00A54956" w:rsidRDefault="00EA731E" w:rsidP="008534E9">
            <w:pPr>
              <w:ind w:left="720" w:hanging="720"/>
              <w:jc w:val="center"/>
              <w:rPr>
                <w:lang w:eastAsia="ja-JP"/>
              </w:rPr>
            </w:pPr>
            <w:r>
              <w:rPr>
                <w:lang w:eastAsia="ja-JP"/>
              </w:rPr>
              <w:t>225</w:t>
            </w:r>
          </w:p>
        </w:tc>
        <w:tc>
          <w:tcPr>
            <w:tcW w:w="1817" w:type="dxa"/>
          </w:tcPr>
          <w:p w14:paraId="0FAF2A87" w14:textId="77777777" w:rsidR="00EA731E" w:rsidRPr="00A54956" w:rsidRDefault="00EA731E" w:rsidP="008534E9">
            <w:pPr>
              <w:ind w:left="720" w:hanging="720"/>
              <w:jc w:val="center"/>
              <w:rPr>
                <w:lang w:eastAsia="ja-JP"/>
              </w:rPr>
            </w:pPr>
            <w:r>
              <w:rPr>
                <w:lang w:eastAsia="ja-JP"/>
              </w:rPr>
              <w:t>0.142%</w:t>
            </w:r>
          </w:p>
        </w:tc>
        <w:tc>
          <w:tcPr>
            <w:tcW w:w="2014" w:type="dxa"/>
            <w:shd w:val="clear" w:color="auto" w:fill="auto"/>
            <w:vAlign w:val="center"/>
          </w:tcPr>
          <w:p w14:paraId="4DFF46FF" w14:textId="77777777" w:rsidR="00EA731E" w:rsidRPr="00A54956" w:rsidRDefault="00EA731E" w:rsidP="008534E9">
            <w:pPr>
              <w:ind w:left="720" w:hanging="720"/>
              <w:jc w:val="center"/>
              <w:rPr>
                <w:lang w:eastAsia="ja-JP"/>
              </w:rPr>
            </w:pPr>
            <w:r>
              <w:rPr>
                <w:lang w:eastAsia="ja-JP"/>
              </w:rPr>
              <w:t>246</w:t>
            </w:r>
          </w:p>
        </w:tc>
        <w:tc>
          <w:tcPr>
            <w:tcW w:w="2381" w:type="dxa"/>
            <w:shd w:val="clear" w:color="auto" w:fill="auto"/>
          </w:tcPr>
          <w:p w14:paraId="55538931" w14:textId="77777777" w:rsidR="00EA731E" w:rsidRPr="00A54956" w:rsidRDefault="00EA731E" w:rsidP="008534E9">
            <w:pPr>
              <w:ind w:left="720" w:hanging="720"/>
              <w:jc w:val="center"/>
              <w:rPr>
                <w:lang w:eastAsia="ja-JP"/>
              </w:rPr>
            </w:pPr>
            <w:r>
              <w:rPr>
                <w:lang w:eastAsia="ja-JP"/>
              </w:rPr>
              <w:t>0.15%</w:t>
            </w:r>
          </w:p>
        </w:tc>
      </w:tr>
    </w:tbl>
    <w:p w14:paraId="511E1307" w14:textId="77777777" w:rsidR="00EA731E" w:rsidRDefault="00EA731E" w:rsidP="00EA731E">
      <w:pPr>
        <w:ind w:left="360"/>
        <w:rPr>
          <w:i/>
          <w:lang w:eastAsia="ja-JP"/>
        </w:rPr>
      </w:pPr>
      <w:r>
        <w:rPr>
          <w:i/>
          <w:lang w:eastAsia="ja-JP"/>
        </w:rPr>
        <w:t>(</w:t>
      </w:r>
      <w:r w:rsidRPr="00A54956">
        <w:rPr>
          <w:i/>
          <w:lang w:eastAsia="ja-JP"/>
        </w:rPr>
        <w:t>ACS Language Spoken at Home, 2019;5 Year Estimate S1601</w:t>
      </w:r>
      <w:r>
        <w:rPr>
          <w:i/>
          <w:lang w:eastAsia="ja-JP"/>
        </w:rPr>
        <w:t>)</w:t>
      </w:r>
    </w:p>
    <w:p w14:paraId="09CCD0FC" w14:textId="77777777" w:rsidR="00EA731E" w:rsidRDefault="00EA731E" w:rsidP="00EA731E">
      <w:pPr>
        <w:ind w:left="360" w:hanging="720"/>
      </w:pPr>
    </w:p>
    <w:p w14:paraId="1179FF88" w14:textId="41D6C4A7" w:rsidR="00EA731E" w:rsidRDefault="00EA731E" w:rsidP="00AF0F1F">
      <w:pPr>
        <w:numPr>
          <w:ilvl w:val="2"/>
          <w:numId w:val="2"/>
        </w:numPr>
        <w:ind w:left="1584"/>
        <w:jc w:val="both"/>
      </w:pPr>
      <w:r>
        <w:t xml:space="preserve">Spanish is the largest non-English language spoken at home, of which it is estimated 38,184 of the population in the Marion County CDBG &amp; HOME Grant Program Service Area five </w:t>
      </w:r>
      <w:r>
        <w:lastRenderedPageBreak/>
        <w:t xml:space="preserve">years and older speak Spanish. This is further broken down, showing that among those who speak Spanish, 16,460 or 10.41% speak English “less than very well.” </w:t>
      </w:r>
    </w:p>
    <w:p w14:paraId="104CCFCA" w14:textId="77777777" w:rsidR="00EA731E" w:rsidRDefault="00EA731E" w:rsidP="00AF0F1F">
      <w:pPr>
        <w:ind w:left="1080" w:hanging="720"/>
        <w:jc w:val="both"/>
      </w:pPr>
    </w:p>
    <w:p w14:paraId="6DCC2184" w14:textId="1CCD381F" w:rsidR="00EA731E" w:rsidRDefault="00EA731E" w:rsidP="00AF0F1F">
      <w:pPr>
        <w:numPr>
          <w:ilvl w:val="2"/>
          <w:numId w:val="2"/>
        </w:numPr>
        <w:ind w:left="1584"/>
        <w:jc w:val="both"/>
      </w:pPr>
      <w:r>
        <w:t>An estimated 4,783 of the population in the Marion County CDBG &amp; HOME Grant Program services area speak Other Indo-European languages. Those who speak Other Indo-European languages, an estimated 1,293 or 0.81% speak English “less than very well.”</w:t>
      </w:r>
    </w:p>
    <w:p w14:paraId="4B2EBA71" w14:textId="77777777" w:rsidR="00EA731E" w:rsidRDefault="00EA731E" w:rsidP="00AF0F1F">
      <w:pPr>
        <w:ind w:hanging="720"/>
        <w:jc w:val="both"/>
      </w:pPr>
    </w:p>
    <w:p w14:paraId="5AB353B2" w14:textId="77777777" w:rsidR="00EA731E" w:rsidRDefault="00EA731E" w:rsidP="00AF0F1F">
      <w:pPr>
        <w:numPr>
          <w:ilvl w:val="1"/>
          <w:numId w:val="2"/>
        </w:numPr>
        <w:ind w:left="1152" w:hanging="720"/>
        <w:jc w:val="both"/>
        <w:rPr>
          <w:b/>
        </w:rPr>
      </w:pPr>
      <w:r w:rsidRPr="00A54956">
        <w:rPr>
          <w:b/>
        </w:rPr>
        <w:t>Factor Two – Frequency of Contact with LEP Persons</w:t>
      </w:r>
      <w:bookmarkEnd w:id="4"/>
    </w:p>
    <w:p w14:paraId="2C9EBAEB" w14:textId="77777777" w:rsidR="00EA731E" w:rsidRPr="00A54956" w:rsidRDefault="00EA731E" w:rsidP="00AF0F1F">
      <w:pPr>
        <w:ind w:left="720" w:hanging="720"/>
        <w:jc w:val="both"/>
        <w:rPr>
          <w:b/>
        </w:rPr>
      </w:pPr>
    </w:p>
    <w:p w14:paraId="60758862" w14:textId="30A2EDDD" w:rsidR="00EA731E" w:rsidRDefault="00EA731E" w:rsidP="00AF0F1F">
      <w:pPr>
        <w:numPr>
          <w:ilvl w:val="2"/>
          <w:numId w:val="2"/>
        </w:numPr>
        <w:ind w:left="1584"/>
        <w:jc w:val="both"/>
      </w:pPr>
      <w:r w:rsidRPr="00915615">
        <w:t xml:space="preserve">It can be expected that LEP persons will occasionally </w:t>
      </w:r>
      <w:proofErr w:type="gramStart"/>
      <w:r w:rsidRPr="00915615">
        <w:t>come into contact with</w:t>
      </w:r>
      <w:proofErr w:type="gramEnd"/>
      <w:r w:rsidRPr="00915615">
        <w:t xml:space="preserve"> county programs, services, or facilities. </w:t>
      </w:r>
    </w:p>
    <w:p w14:paraId="17FE0E97" w14:textId="77777777" w:rsidR="00EA731E" w:rsidRDefault="00EA731E" w:rsidP="00AF0F1F">
      <w:pPr>
        <w:ind w:left="1080" w:hanging="720"/>
        <w:jc w:val="both"/>
      </w:pPr>
    </w:p>
    <w:p w14:paraId="08827B6B" w14:textId="19DB85E7" w:rsidR="00EA731E" w:rsidRDefault="00EA731E" w:rsidP="00AF0F1F">
      <w:pPr>
        <w:numPr>
          <w:ilvl w:val="2"/>
          <w:numId w:val="2"/>
        </w:numPr>
        <w:ind w:left="1584"/>
        <w:jc w:val="both"/>
      </w:pPr>
      <w:r>
        <w:t xml:space="preserve">Division </w:t>
      </w:r>
      <w:r w:rsidRPr="00915615">
        <w:t xml:space="preserve">staff serving as the first point of contact for these programs and services </w:t>
      </w:r>
      <w:r>
        <w:t xml:space="preserve">may use the attached language identification flashcards to aid in identifying LEP clients. </w:t>
      </w:r>
    </w:p>
    <w:p w14:paraId="10C57311" w14:textId="77777777" w:rsidR="00EA731E" w:rsidRDefault="00EA731E" w:rsidP="00AF0F1F">
      <w:pPr>
        <w:ind w:left="1080" w:hanging="720"/>
        <w:jc w:val="both"/>
      </w:pPr>
    </w:p>
    <w:p w14:paraId="01DC19B0" w14:textId="13DB2C60" w:rsidR="00EA731E" w:rsidRDefault="00EA731E" w:rsidP="00AF0F1F">
      <w:pPr>
        <w:numPr>
          <w:ilvl w:val="2"/>
          <w:numId w:val="2"/>
        </w:numPr>
        <w:ind w:left="1584"/>
        <w:jc w:val="both"/>
      </w:pPr>
      <w:r w:rsidRPr="00915615">
        <w:t xml:space="preserve">The cards shall be used by </w:t>
      </w:r>
      <w:r>
        <w:t xml:space="preserve">division </w:t>
      </w:r>
      <w:r w:rsidRPr="00915615">
        <w:t xml:space="preserve">staff to determine the need for </w:t>
      </w:r>
      <w:r>
        <w:t xml:space="preserve">a </w:t>
      </w:r>
      <w:r w:rsidRPr="00915615">
        <w:t xml:space="preserve">particular language service during routine activities/encounters and how to access needed interpretation services. </w:t>
      </w:r>
    </w:p>
    <w:p w14:paraId="73D2257D" w14:textId="77777777" w:rsidR="00EA731E" w:rsidRPr="00915615" w:rsidRDefault="00EA731E" w:rsidP="00AF0F1F">
      <w:pPr>
        <w:ind w:hanging="720"/>
        <w:jc w:val="both"/>
      </w:pPr>
    </w:p>
    <w:p w14:paraId="5FF52139" w14:textId="77777777" w:rsidR="00EA731E" w:rsidRDefault="00EA731E" w:rsidP="00AF0F1F">
      <w:pPr>
        <w:numPr>
          <w:ilvl w:val="1"/>
          <w:numId w:val="2"/>
        </w:numPr>
        <w:ind w:left="1152" w:hanging="720"/>
        <w:jc w:val="both"/>
        <w:rPr>
          <w:b/>
        </w:rPr>
      </w:pPr>
      <w:bookmarkStart w:id="5" w:name="_Toc88130798"/>
      <w:r w:rsidRPr="00A54956">
        <w:rPr>
          <w:b/>
        </w:rPr>
        <w:t>Factor Three – Nature and Importance of the Program or Services</w:t>
      </w:r>
      <w:bookmarkEnd w:id="5"/>
    </w:p>
    <w:p w14:paraId="5A087F5E" w14:textId="77777777" w:rsidR="00EA731E" w:rsidRDefault="00EA731E" w:rsidP="00AF0F1F">
      <w:pPr>
        <w:ind w:hanging="720"/>
        <w:jc w:val="both"/>
      </w:pPr>
    </w:p>
    <w:p w14:paraId="130B1610" w14:textId="3517293D" w:rsidR="00EA731E" w:rsidRDefault="00EA731E" w:rsidP="00AF0F1F">
      <w:pPr>
        <w:numPr>
          <w:ilvl w:val="2"/>
          <w:numId w:val="2"/>
        </w:numPr>
        <w:ind w:left="1584"/>
        <w:jc w:val="both"/>
      </w:pPr>
      <w:r>
        <w:t>I</w:t>
      </w:r>
      <w:r w:rsidRPr="00915615">
        <w:t>t is the county’s intent to provide meaningful access to all participants and eligible person</w:t>
      </w:r>
      <w:r>
        <w:t>s</w:t>
      </w:r>
      <w:r w:rsidRPr="00915615">
        <w:t xml:space="preserve">, </w:t>
      </w:r>
      <w:r>
        <w:t xml:space="preserve">however, </w:t>
      </w:r>
      <w:r w:rsidRPr="00915615">
        <w:t>the availability of resources may limit the provision of language services in some case</w:t>
      </w:r>
      <w:r>
        <w:t>s</w:t>
      </w:r>
      <w:r w:rsidRPr="00915615">
        <w:t>.</w:t>
      </w:r>
    </w:p>
    <w:p w14:paraId="2B5A2048" w14:textId="77777777" w:rsidR="00EA731E" w:rsidRDefault="00EA731E" w:rsidP="00AF0F1F">
      <w:pPr>
        <w:ind w:left="1080" w:hanging="720"/>
        <w:jc w:val="both"/>
      </w:pPr>
    </w:p>
    <w:p w14:paraId="3B953409" w14:textId="11DC8F16" w:rsidR="00EA731E" w:rsidRDefault="00EA731E" w:rsidP="00AF0F1F">
      <w:pPr>
        <w:numPr>
          <w:ilvl w:val="2"/>
          <w:numId w:val="2"/>
        </w:numPr>
        <w:ind w:left="1584"/>
        <w:jc w:val="both"/>
      </w:pPr>
      <w:r>
        <w:t>The division</w:t>
      </w:r>
      <w:r w:rsidRPr="00915615">
        <w:t xml:space="preserve"> should analyze activities related to the department’s respective programs and services and evaluate the relative importance of each. </w:t>
      </w:r>
    </w:p>
    <w:p w14:paraId="65FA1ADA" w14:textId="77777777" w:rsidR="00EA731E" w:rsidRDefault="00EA731E" w:rsidP="00AF0F1F">
      <w:pPr>
        <w:ind w:hanging="720"/>
        <w:jc w:val="both"/>
      </w:pPr>
    </w:p>
    <w:p w14:paraId="46E51861" w14:textId="77777777" w:rsidR="00EA731E" w:rsidRDefault="00EA731E" w:rsidP="00AF0F1F">
      <w:pPr>
        <w:numPr>
          <w:ilvl w:val="2"/>
          <w:numId w:val="2"/>
        </w:numPr>
        <w:ind w:left="1584"/>
        <w:jc w:val="both"/>
      </w:pPr>
      <w:r w:rsidRPr="00915615">
        <w:t xml:space="preserve">Based </w:t>
      </w:r>
      <w:r>
        <w:t>section 6.3, factor 3 analysis, the</w:t>
      </w:r>
      <w:r w:rsidRPr="00915615">
        <w:t xml:space="preserve"> </w:t>
      </w:r>
      <w:r>
        <w:t>division</w:t>
      </w:r>
      <w:r w:rsidRPr="00915615">
        <w:t xml:space="preserve"> should determine how language services to LEP individuals should be delivered for each activity</w:t>
      </w:r>
      <w:r>
        <w:t>.</w:t>
      </w:r>
    </w:p>
    <w:p w14:paraId="5DE50C64" w14:textId="77777777" w:rsidR="00EA731E" w:rsidRPr="00915615" w:rsidRDefault="00EA731E" w:rsidP="00AF0F1F">
      <w:pPr>
        <w:ind w:hanging="720"/>
        <w:jc w:val="both"/>
      </w:pPr>
    </w:p>
    <w:p w14:paraId="37193949" w14:textId="77777777" w:rsidR="00EA731E" w:rsidRDefault="00EA731E" w:rsidP="00AF0F1F">
      <w:pPr>
        <w:numPr>
          <w:ilvl w:val="1"/>
          <w:numId w:val="2"/>
        </w:numPr>
        <w:ind w:left="1152" w:hanging="720"/>
        <w:jc w:val="both"/>
        <w:rPr>
          <w:b/>
        </w:rPr>
      </w:pPr>
      <w:bookmarkStart w:id="6" w:name="_Toc88130799"/>
      <w:r w:rsidRPr="00A54956">
        <w:rPr>
          <w:b/>
        </w:rPr>
        <w:t>Factor Four – Costs of Available Resources</w:t>
      </w:r>
      <w:bookmarkEnd w:id="6"/>
    </w:p>
    <w:p w14:paraId="5DB78101" w14:textId="77777777" w:rsidR="00EA731E" w:rsidRPr="00A54956" w:rsidRDefault="00EA731E" w:rsidP="00AF0F1F">
      <w:pPr>
        <w:ind w:left="720" w:hanging="720"/>
        <w:jc w:val="both"/>
        <w:rPr>
          <w:b/>
        </w:rPr>
      </w:pPr>
    </w:p>
    <w:p w14:paraId="63DCFB3F" w14:textId="2AC5CD64" w:rsidR="00EA731E" w:rsidRDefault="00EA731E" w:rsidP="00AF0F1F">
      <w:pPr>
        <w:numPr>
          <w:ilvl w:val="2"/>
          <w:numId w:val="2"/>
        </w:numPr>
        <w:ind w:left="1584"/>
        <w:jc w:val="both"/>
      </w:pPr>
      <w:r w:rsidRPr="00915615">
        <w:t>The county shall explore the most cost-effective means of delivering competent language services before limiting services due to resource limitation</w:t>
      </w:r>
      <w:r>
        <w:t>s</w:t>
      </w:r>
      <w:r w:rsidRPr="00915615">
        <w:t xml:space="preserve"> or concerns. Free and paid translation services are also available in the case </w:t>
      </w:r>
      <w:r>
        <w:t xml:space="preserve">of </w:t>
      </w:r>
      <w:r w:rsidRPr="00915615">
        <w:t xml:space="preserve">interaction with LEP persons or the need for language assistance. </w:t>
      </w:r>
    </w:p>
    <w:p w14:paraId="2F9F91B4" w14:textId="77777777" w:rsidR="00EA731E" w:rsidRDefault="00EA731E" w:rsidP="00AF0F1F">
      <w:pPr>
        <w:ind w:left="1080" w:hanging="720"/>
        <w:jc w:val="both"/>
      </w:pPr>
    </w:p>
    <w:p w14:paraId="17A57CDC" w14:textId="23B83788" w:rsidR="00EA731E" w:rsidRDefault="00EA731E" w:rsidP="00AF0F1F">
      <w:pPr>
        <w:numPr>
          <w:ilvl w:val="2"/>
          <w:numId w:val="2"/>
        </w:numPr>
        <w:ind w:left="1584"/>
        <w:jc w:val="both"/>
      </w:pPr>
      <w:r w:rsidRPr="00915615">
        <w:t>The U.S. Department of Housing and Urban Development provides I-Speak identification cards and many documents in multiple languages</w:t>
      </w:r>
      <w:r>
        <w:t xml:space="preserve">, which may be used by the division when necessary to assist LEP populations. </w:t>
      </w:r>
    </w:p>
    <w:p w14:paraId="42B3CEED" w14:textId="46AA8053" w:rsidR="00EA731E" w:rsidRDefault="00EA731E" w:rsidP="00AF0F1F">
      <w:pPr>
        <w:ind w:hanging="720"/>
        <w:jc w:val="both"/>
      </w:pPr>
    </w:p>
    <w:p w14:paraId="1609C7F9" w14:textId="10494A71" w:rsidR="00251DA6" w:rsidRDefault="00251DA6" w:rsidP="00AF0F1F">
      <w:pPr>
        <w:ind w:hanging="720"/>
        <w:jc w:val="both"/>
      </w:pPr>
    </w:p>
    <w:p w14:paraId="66B98041" w14:textId="1A9D6EAF" w:rsidR="00251DA6" w:rsidRDefault="00251DA6" w:rsidP="00AF0F1F">
      <w:pPr>
        <w:ind w:hanging="720"/>
        <w:jc w:val="both"/>
      </w:pPr>
    </w:p>
    <w:p w14:paraId="24ABDDE2" w14:textId="77777777" w:rsidR="00251DA6" w:rsidRPr="00915615" w:rsidRDefault="00251DA6" w:rsidP="00AF0F1F">
      <w:pPr>
        <w:ind w:hanging="720"/>
        <w:jc w:val="both"/>
      </w:pPr>
    </w:p>
    <w:p w14:paraId="07162D1F" w14:textId="77777777" w:rsidR="00EA731E" w:rsidRDefault="00EA731E" w:rsidP="00E67F3D">
      <w:pPr>
        <w:numPr>
          <w:ilvl w:val="0"/>
          <w:numId w:val="2"/>
        </w:numPr>
        <w:ind w:hanging="720"/>
        <w:jc w:val="both"/>
        <w:rPr>
          <w:u w:val="single"/>
        </w:rPr>
      </w:pPr>
      <w:bookmarkStart w:id="7" w:name="_Toc88130800"/>
      <w:r w:rsidRPr="00160B31">
        <w:rPr>
          <w:u w:val="single"/>
        </w:rPr>
        <w:lastRenderedPageBreak/>
        <w:t>Analysis of the Safe Harbor for Written Translations</w:t>
      </w:r>
    </w:p>
    <w:p w14:paraId="78CDBBA0" w14:textId="77777777" w:rsidR="00EA731E" w:rsidRPr="00160B31" w:rsidRDefault="00EA731E" w:rsidP="00E67F3D">
      <w:pPr>
        <w:ind w:left="720" w:hanging="720"/>
        <w:jc w:val="both"/>
        <w:rPr>
          <w:u w:val="single"/>
        </w:rPr>
      </w:pPr>
    </w:p>
    <w:p w14:paraId="07A3E044" w14:textId="77777777" w:rsidR="00EA731E" w:rsidRDefault="00EA731E" w:rsidP="00E67F3D">
      <w:pPr>
        <w:numPr>
          <w:ilvl w:val="1"/>
          <w:numId w:val="2"/>
        </w:numPr>
        <w:ind w:left="1152" w:hanging="720"/>
        <w:jc w:val="both"/>
      </w:pPr>
      <w:r>
        <w:t>The U.S. Department of Housing and Urban Development adopted “Safe Harbors” in its final</w:t>
      </w:r>
      <w:r w:rsidRPr="00161077">
        <w:rPr>
          <w:spacing w:val="1"/>
        </w:rPr>
        <w:t xml:space="preserve"> </w:t>
      </w:r>
      <w:r>
        <w:t xml:space="preserve">guidance for written translations in languages other than in English. In following the “Safe Harbor” guidance, the division should provide written translation of vital documents in Spanish and in Other Indo-European languages. </w:t>
      </w:r>
    </w:p>
    <w:p w14:paraId="34DF3CFD" w14:textId="77777777" w:rsidR="00EA731E" w:rsidRPr="00E13814" w:rsidRDefault="00EA731E" w:rsidP="00E67F3D">
      <w:pPr>
        <w:ind w:left="720" w:hanging="720"/>
        <w:jc w:val="both"/>
      </w:pPr>
    </w:p>
    <w:p w14:paraId="733376CC" w14:textId="77777777" w:rsidR="00EA731E" w:rsidRPr="00B5388D" w:rsidRDefault="00EA731E" w:rsidP="00E67F3D">
      <w:pPr>
        <w:numPr>
          <w:ilvl w:val="2"/>
          <w:numId w:val="2"/>
        </w:numPr>
        <w:ind w:left="1584"/>
        <w:jc w:val="both"/>
      </w:pPr>
      <w:r>
        <w:rPr>
          <w:spacing w:val="1"/>
        </w:rPr>
        <w:t xml:space="preserve">The Safe Harbor guidance is attached to this policy. </w:t>
      </w:r>
    </w:p>
    <w:p w14:paraId="1861557D" w14:textId="77777777" w:rsidR="00EA731E" w:rsidRDefault="00EA731E" w:rsidP="00E67F3D">
      <w:pPr>
        <w:ind w:hanging="720"/>
        <w:jc w:val="both"/>
        <w:rPr>
          <w:u w:val="single"/>
        </w:rPr>
      </w:pPr>
    </w:p>
    <w:p w14:paraId="69196D1B" w14:textId="77777777" w:rsidR="00EA731E" w:rsidRDefault="00EA731E" w:rsidP="00E67F3D">
      <w:pPr>
        <w:numPr>
          <w:ilvl w:val="0"/>
          <w:numId w:val="2"/>
        </w:numPr>
        <w:ind w:hanging="720"/>
        <w:jc w:val="both"/>
        <w:rPr>
          <w:u w:val="single"/>
        </w:rPr>
      </w:pPr>
      <w:r w:rsidRPr="00A54956">
        <w:rPr>
          <w:u w:val="single"/>
        </w:rPr>
        <w:t>Accessing Translation/Interpretation Services in The County</w:t>
      </w:r>
      <w:bookmarkEnd w:id="7"/>
    </w:p>
    <w:p w14:paraId="0F7B96B4" w14:textId="77777777" w:rsidR="00EA731E" w:rsidRDefault="00EA731E" w:rsidP="00E67F3D">
      <w:pPr>
        <w:ind w:hanging="720"/>
        <w:jc w:val="both"/>
        <w:rPr>
          <w:lang w:eastAsia="ja-JP"/>
        </w:rPr>
      </w:pPr>
    </w:p>
    <w:p w14:paraId="13512E77" w14:textId="77777777" w:rsidR="00EA731E" w:rsidRPr="005A6DBC" w:rsidRDefault="00EA731E" w:rsidP="00E67F3D">
      <w:pPr>
        <w:numPr>
          <w:ilvl w:val="1"/>
          <w:numId w:val="2"/>
        </w:numPr>
        <w:ind w:left="1152" w:hanging="720"/>
        <w:jc w:val="both"/>
        <w:rPr>
          <w:u w:val="single"/>
        </w:rPr>
      </w:pPr>
      <w:r w:rsidRPr="00A54956">
        <w:rPr>
          <w:lang w:eastAsia="ja-JP"/>
        </w:rPr>
        <w:t xml:space="preserve">The county contracts for interpretation and translation services which </w:t>
      </w:r>
      <w:r>
        <w:rPr>
          <w:lang w:eastAsia="ja-JP"/>
        </w:rPr>
        <w:t>the</w:t>
      </w:r>
      <w:r w:rsidRPr="00A54956">
        <w:rPr>
          <w:lang w:eastAsia="ja-JP"/>
        </w:rPr>
        <w:t xml:space="preserve"> d</w:t>
      </w:r>
      <w:r>
        <w:rPr>
          <w:lang w:eastAsia="ja-JP"/>
        </w:rPr>
        <w:t>ivision</w:t>
      </w:r>
      <w:r w:rsidRPr="00A54956">
        <w:rPr>
          <w:lang w:eastAsia="ja-JP"/>
        </w:rPr>
        <w:t xml:space="preserve"> may use when needing services for translation of vital documents, outreach, and other documents and/or interpretation in person or by phone. </w:t>
      </w:r>
    </w:p>
    <w:p w14:paraId="2C70521D" w14:textId="77777777" w:rsidR="00EA731E" w:rsidRPr="00EC0B7A" w:rsidRDefault="00EA731E" w:rsidP="00E67F3D">
      <w:pPr>
        <w:ind w:left="720" w:hanging="720"/>
        <w:jc w:val="both"/>
        <w:rPr>
          <w:u w:val="single"/>
        </w:rPr>
      </w:pPr>
    </w:p>
    <w:p w14:paraId="6C0AF5EE" w14:textId="77777777" w:rsidR="00EA731E" w:rsidRPr="00A54956" w:rsidRDefault="00EA731E" w:rsidP="00E67F3D">
      <w:pPr>
        <w:numPr>
          <w:ilvl w:val="0"/>
          <w:numId w:val="2"/>
        </w:numPr>
        <w:ind w:hanging="720"/>
        <w:jc w:val="both"/>
        <w:rPr>
          <w:u w:val="single"/>
        </w:rPr>
      </w:pPr>
      <w:r w:rsidRPr="00A54956">
        <w:rPr>
          <w:u w:val="single"/>
        </w:rPr>
        <w:t xml:space="preserve">Type and Frequency of Notice </w:t>
      </w:r>
      <w:r>
        <w:rPr>
          <w:u w:val="single"/>
        </w:rPr>
        <w:t>to</w:t>
      </w:r>
      <w:r w:rsidRPr="00A54956">
        <w:rPr>
          <w:u w:val="single"/>
        </w:rPr>
        <w:t xml:space="preserve"> L</w:t>
      </w:r>
      <w:r>
        <w:rPr>
          <w:u w:val="single"/>
        </w:rPr>
        <w:t>EP</w:t>
      </w:r>
      <w:r w:rsidRPr="00A54956">
        <w:rPr>
          <w:u w:val="single"/>
        </w:rPr>
        <w:t xml:space="preserve"> Persons</w:t>
      </w:r>
    </w:p>
    <w:p w14:paraId="7B898BAA" w14:textId="77777777" w:rsidR="00EA731E" w:rsidRPr="00915615" w:rsidRDefault="00EA731E" w:rsidP="00E67F3D">
      <w:pPr>
        <w:ind w:hanging="720"/>
        <w:jc w:val="both"/>
        <w:rPr>
          <w:b/>
          <w:u w:val="single"/>
        </w:rPr>
      </w:pPr>
    </w:p>
    <w:p w14:paraId="66C001A6" w14:textId="77777777" w:rsidR="00EA731E" w:rsidRPr="00EC0B7A" w:rsidRDefault="00EA731E" w:rsidP="00E67F3D">
      <w:pPr>
        <w:numPr>
          <w:ilvl w:val="1"/>
          <w:numId w:val="2"/>
        </w:numPr>
        <w:ind w:left="1152" w:hanging="720"/>
        <w:jc w:val="both"/>
        <w:rPr>
          <w:b/>
          <w:u w:val="single"/>
        </w:rPr>
      </w:pPr>
      <w:r>
        <w:t>Using the four-factor analysis, the division</w:t>
      </w:r>
      <w:r w:rsidRPr="00915615">
        <w:t xml:space="preserve"> </w:t>
      </w:r>
      <w:r>
        <w:t xml:space="preserve">shall determine the type and frequency of notices to LEP persons. </w:t>
      </w:r>
    </w:p>
    <w:p w14:paraId="6F0C381C" w14:textId="77777777" w:rsidR="00EA731E" w:rsidRPr="00915615" w:rsidRDefault="00EA731E" w:rsidP="00E67F3D">
      <w:pPr>
        <w:ind w:hanging="720"/>
        <w:jc w:val="both"/>
        <w:rPr>
          <w:b/>
          <w:u w:val="single"/>
        </w:rPr>
      </w:pPr>
    </w:p>
    <w:p w14:paraId="42D17F36" w14:textId="77777777" w:rsidR="00EA731E" w:rsidRPr="00EC0B7A" w:rsidRDefault="00EA731E" w:rsidP="00E67F3D">
      <w:pPr>
        <w:numPr>
          <w:ilvl w:val="0"/>
          <w:numId w:val="2"/>
        </w:numPr>
        <w:ind w:hanging="720"/>
        <w:jc w:val="both"/>
        <w:rPr>
          <w:u w:val="single"/>
        </w:rPr>
      </w:pPr>
      <w:r w:rsidRPr="00A54956">
        <w:rPr>
          <w:u w:val="single"/>
        </w:rPr>
        <w:t xml:space="preserve">Training </w:t>
      </w:r>
      <w:r>
        <w:rPr>
          <w:u w:val="single"/>
        </w:rPr>
        <w:t>for</w:t>
      </w:r>
      <w:r w:rsidRPr="00A54956">
        <w:rPr>
          <w:u w:val="single"/>
        </w:rPr>
        <w:t xml:space="preserve"> Staff Persons </w:t>
      </w:r>
    </w:p>
    <w:p w14:paraId="7A0A09F7" w14:textId="77777777" w:rsidR="00EA731E" w:rsidRPr="001E0D40" w:rsidRDefault="00EA731E" w:rsidP="00E67F3D">
      <w:pPr>
        <w:ind w:left="720" w:hanging="720"/>
        <w:jc w:val="both"/>
        <w:rPr>
          <w:b/>
          <w:u w:val="single"/>
        </w:rPr>
      </w:pPr>
    </w:p>
    <w:p w14:paraId="6E2D3047" w14:textId="77777777" w:rsidR="00EA731E" w:rsidRPr="001E0D40" w:rsidRDefault="00EA731E" w:rsidP="00E67F3D">
      <w:pPr>
        <w:numPr>
          <w:ilvl w:val="1"/>
          <w:numId w:val="2"/>
        </w:numPr>
        <w:ind w:left="1152" w:hanging="720"/>
        <w:jc w:val="both"/>
        <w:rPr>
          <w:b/>
          <w:u w:val="single"/>
        </w:rPr>
      </w:pPr>
      <w:r>
        <w:t xml:space="preserve">The </w:t>
      </w:r>
      <w:r w:rsidRPr="00915615">
        <w:t xml:space="preserve">employees </w:t>
      </w:r>
      <w:r>
        <w:t xml:space="preserve">in the division </w:t>
      </w:r>
      <w:r w:rsidRPr="00915615">
        <w:t>who are likely to have contact</w:t>
      </w:r>
      <w:r w:rsidRPr="00915615">
        <w:rPr>
          <w:spacing w:val="-52"/>
        </w:rPr>
        <w:t xml:space="preserve"> </w:t>
      </w:r>
      <w:r w:rsidRPr="00915615">
        <w:t>with LEP persons shall be trained to assure that they know LEP policies and procedures, that they work effectively with in-</w:t>
      </w:r>
      <w:r w:rsidRPr="00915615">
        <w:rPr>
          <w:spacing w:val="1"/>
        </w:rPr>
        <w:t xml:space="preserve"> </w:t>
      </w:r>
      <w:r w:rsidRPr="00915615">
        <w:t>person and telephone interpreters, and they understand the dynamics of interpretation among LEP providers and interpreters.</w:t>
      </w:r>
      <w:r w:rsidRPr="00915615">
        <w:rPr>
          <w:spacing w:val="-52"/>
        </w:rPr>
        <w:t xml:space="preserve"> </w:t>
      </w:r>
    </w:p>
    <w:p w14:paraId="56A21531" w14:textId="77777777" w:rsidR="00EA731E" w:rsidRPr="001E0D40" w:rsidRDefault="00EA731E" w:rsidP="00E67F3D">
      <w:pPr>
        <w:ind w:hanging="720"/>
        <w:jc w:val="both"/>
        <w:rPr>
          <w:b/>
          <w:u w:val="single"/>
        </w:rPr>
      </w:pPr>
    </w:p>
    <w:p w14:paraId="2313ED51" w14:textId="77777777" w:rsidR="00EA731E" w:rsidRPr="00EC0B7A" w:rsidRDefault="00EA731E" w:rsidP="00E67F3D">
      <w:pPr>
        <w:pStyle w:val="BodyText"/>
        <w:numPr>
          <w:ilvl w:val="0"/>
          <w:numId w:val="2"/>
        </w:numPr>
        <w:spacing w:before="59"/>
        <w:ind w:right="182" w:hanging="720"/>
        <w:jc w:val="both"/>
        <w:rPr>
          <w:u w:val="single"/>
        </w:rPr>
      </w:pPr>
      <w:r>
        <w:rPr>
          <w:u w:val="single"/>
        </w:rPr>
        <w:t>M</w:t>
      </w:r>
      <w:r w:rsidRPr="00A54956">
        <w:rPr>
          <w:u w:val="single"/>
        </w:rPr>
        <w:t xml:space="preserve">onitoring Compliance, Assessing Performance, </w:t>
      </w:r>
      <w:r>
        <w:rPr>
          <w:u w:val="single"/>
        </w:rPr>
        <w:t>a</w:t>
      </w:r>
      <w:r w:rsidRPr="00A54956">
        <w:rPr>
          <w:u w:val="single"/>
        </w:rPr>
        <w:t>nd Revisions</w:t>
      </w:r>
    </w:p>
    <w:p w14:paraId="4E840136" w14:textId="77777777" w:rsidR="00EA731E" w:rsidRDefault="00EA731E" w:rsidP="00E67F3D">
      <w:pPr>
        <w:ind w:left="720" w:hanging="720"/>
        <w:jc w:val="both"/>
      </w:pPr>
    </w:p>
    <w:p w14:paraId="392F44B7" w14:textId="77777777" w:rsidR="00EA731E" w:rsidRDefault="00EA731E" w:rsidP="00E67F3D">
      <w:pPr>
        <w:numPr>
          <w:ilvl w:val="1"/>
          <w:numId w:val="2"/>
        </w:numPr>
        <w:ind w:left="1152" w:hanging="720"/>
        <w:jc w:val="both"/>
      </w:pPr>
      <w:r>
        <w:t xml:space="preserve">This policy shall be reviewed at least every three years for any necessary revisions, </w:t>
      </w:r>
      <w:r w:rsidRPr="00915615">
        <w:t>in accordance with Marion County, Oregon Policy 102 and 102-A</w:t>
      </w:r>
      <w:r>
        <w:t xml:space="preserve">, </w:t>
      </w:r>
    </w:p>
    <w:p w14:paraId="656C00FC" w14:textId="77777777" w:rsidR="00EA731E" w:rsidRDefault="00EA731E" w:rsidP="00E67F3D">
      <w:pPr>
        <w:ind w:hanging="720"/>
        <w:jc w:val="both"/>
        <w:rPr>
          <w:b/>
          <w:u w:val="single"/>
        </w:rPr>
      </w:pPr>
    </w:p>
    <w:p w14:paraId="7B6EC1F3" w14:textId="77777777" w:rsidR="00EA731E" w:rsidRPr="00915615" w:rsidRDefault="00EA731E" w:rsidP="00E67F3D">
      <w:pPr>
        <w:ind w:hanging="720"/>
        <w:jc w:val="both"/>
        <w:rPr>
          <w:b/>
          <w:u w:val="single"/>
        </w:rPr>
      </w:pPr>
    </w:p>
    <w:p w14:paraId="63137186" w14:textId="77777777" w:rsidR="00EA731E" w:rsidRDefault="00EA731E" w:rsidP="00E67F3D">
      <w:pPr>
        <w:numPr>
          <w:ilvl w:val="0"/>
          <w:numId w:val="2"/>
        </w:numPr>
        <w:ind w:hanging="720"/>
        <w:jc w:val="both"/>
        <w:rPr>
          <w:u w:val="single"/>
        </w:rPr>
      </w:pPr>
      <w:r w:rsidRPr="00A54956">
        <w:rPr>
          <w:u w:val="single"/>
        </w:rPr>
        <w:t>Discrimination-Comp</w:t>
      </w:r>
      <w:r>
        <w:rPr>
          <w:u w:val="single"/>
        </w:rPr>
        <w:t>l</w:t>
      </w:r>
      <w:r w:rsidRPr="00A54956">
        <w:rPr>
          <w:u w:val="single"/>
        </w:rPr>
        <w:t>aint</w:t>
      </w:r>
      <w:r>
        <w:rPr>
          <w:u w:val="single"/>
        </w:rPr>
        <w:t xml:space="preserve">s </w:t>
      </w:r>
    </w:p>
    <w:p w14:paraId="7BF71165" w14:textId="77777777" w:rsidR="00EA731E" w:rsidRDefault="00EA731E" w:rsidP="00E67F3D">
      <w:pPr>
        <w:ind w:left="720" w:hanging="720"/>
        <w:jc w:val="both"/>
        <w:rPr>
          <w:u w:val="single"/>
        </w:rPr>
      </w:pPr>
    </w:p>
    <w:p w14:paraId="50634939" w14:textId="77777777" w:rsidR="00EA731E" w:rsidRPr="00161077" w:rsidRDefault="00EA731E" w:rsidP="00E67F3D">
      <w:pPr>
        <w:numPr>
          <w:ilvl w:val="1"/>
          <w:numId w:val="2"/>
        </w:numPr>
        <w:ind w:left="1152" w:hanging="720"/>
        <w:jc w:val="both"/>
        <w:rPr>
          <w:u w:val="single"/>
        </w:rPr>
      </w:pPr>
      <w:r>
        <w:t xml:space="preserve">The procedure for filing a complaint is detailed in procedure 602-B. </w:t>
      </w:r>
    </w:p>
    <w:p w14:paraId="0BFD0187" w14:textId="77777777" w:rsidR="00EA731E" w:rsidRDefault="00EA731E" w:rsidP="00E67F3D">
      <w:pPr>
        <w:ind w:hanging="720"/>
        <w:jc w:val="both"/>
      </w:pPr>
    </w:p>
    <w:p w14:paraId="04304827" w14:textId="77777777" w:rsidR="00EA731E" w:rsidRDefault="00EA731E" w:rsidP="00E67F3D">
      <w:pPr>
        <w:ind w:hanging="720"/>
        <w:jc w:val="both"/>
      </w:pPr>
    </w:p>
    <w:p w14:paraId="4B4CA4CF" w14:textId="77777777" w:rsidR="00EA731E" w:rsidRDefault="00EA731E" w:rsidP="00E67F3D">
      <w:pPr>
        <w:ind w:left="720" w:hanging="720"/>
        <w:jc w:val="both"/>
      </w:pPr>
      <w:r>
        <w:t xml:space="preserve">Attachment A – Language Identification Flashcards </w:t>
      </w:r>
    </w:p>
    <w:p w14:paraId="565B6C38" w14:textId="77777777" w:rsidR="00EA731E" w:rsidRDefault="00EA731E" w:rsidP="00E67F3D">
      <w:pPr>
        <w:ind w:hanging="720"/>
        <w:jc w:val="both"/>
      </w:pPr>
    </w:p>
    <w:p w14:paraId="0C538414" w14:textId="77777777" w:rsidR="00EA731E" w:rsidRDefault="00EA731E" w:rsidP="00E67F3D">
      <w:pPr>
        <w:ind w:left="720" w:hanging="720"/>
        <w:jc w:val="both"/>
      </w:pPr>
      <w:r>
        <w:t xml:space="preserve">Attachment B – Safe Harbor Guidance. </w:t>
      </w:r>
    </w:p>
    <w:p w14:paraId="7AFE9DAC" w14:textId="77777777" w:rsidR="00EA731E" w:rsidRDefault="00EA731E" w:rsidP="00E67F3D">
      <w:pPr>
        <w:ind w:hanging="720"/>
        <w:jc w:val="both"/>
      </w:pPr>
    </w:p>
    <w:p w14:paraId="14F3C859" w14:textId="77777777" w:rsidR="00EA731E" w:rsidRDefault="00EA731E" w:rsidP="00E67F3D">
      <w:pPr>
        <w:ind w:hanging="720"/>
        <w:jc w:val="both"/>
      </w:pPr>
      <w:r>
        <w:t xml:space="preserve"> </w:t>
      </w:r>
    </w:p>
    <w:p w14:paraId="28E10DC8" w14:textId="77777777" w:rsidR="00EA731E" w:rsidRDefault="00EA731E"/>
    <w:sectPr w:rsidR="00EA731E" w:rsidSect="00EA731E">
      <w:headerReference w:type="default" r:id="rId10"/>
      <w:footerReference w:type="default" r:id="rId11"/>
      <w:headerReference w:type="first" r:id="rId12"/>
      <w:pgSz w:w="12240" w:h="15840" w:code="1"/>
      <w:pgMar w:top="1440" w:right="1008" w:bottom="144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E06" w14:textId="77777777" w:rsidR="00EA731E" w:rsidRDefault="00EA731E" w:rsidP="00EA731E">
      <w:r>
        <w:separator/>
      </w:r>
    </w:p>
  </w:endnote>
  <w:endnote w:type="continuationSeparator" w:id="0">
    <w:p w14:paraId="41EBFEFD" w14:textId="77777777" w:rsidR="00EA731E" w:rsidRDefault="00EA731E" w:rsidP="00EA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252175"/>
      <w:docPartObj>
        <w:docPartGallery w:val="Page Numbers (Bottom of Page)"/>
        <w:docPartUnique/>
      </w:docPartObj>
    </w:sdtPr>
    <w:sdtEndPr>
      <w:rPr>
        <w:color w:val="7F7F7F" w:themeColor="background1" w:themeShade="7F"/>
        <w:spacing w:val="60"/>
      </w:rPr>
    </w:sdtEndPr>
    <w:sdtContent>
      <w:p w14:paraId="2FB2ACE0" w14:textId="0D754D8A" w:rsidR="00EA731E" w:rsidRDefault="00EA73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450A8D" w14:textId="77777777" w:rsidR="00EA731E" w:rsidRDefault="00EA7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E70A" w14:textId="77777777" w:rsidR="00EA731E" w:rsidRDefault="00EA731E" w:rsidP="00EA731E">
      <w:r>
        <w:separator/>
      </w:r>
    </w:p>
  </w:footnote>
  <w:footnote w:type="continuationSeparator" w:id="0">
    <w:p w14:paraId="10DDB30E" w14:textId="77777777" w:rsidR="00EA731E" w:rsidRDefault="00EA731E" w:rsidP="00EA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1BFC" w14:textId="77777777" w:rsidR="00C567A6" w:rsidRDefault="00E67F3D">
    <w:pPr>
      <w:pStyle w:val="Header"/>
      <w:tabs>
        <w:tab w:val="clear" w:pos="4320"/>
        <w:tab w:val="clear" w:pos="8640"/>
      </w:tabs>
      <w:ind w:left="1440"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A96" w14:textId="0BFDECEE" w:rsidR="00C567A6" w:rsidRDefault="00E67F3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C7DA7"/>
    <w:multiLevelType w:val="multilevel"/>
    <w:tmpl w:val="5F68966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0763CF"/>
    <w:multiLevelType w:val="hybridMultilevel"/>
    <w:tmpl w:val="012AEF0E"/>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8D6292F"/>
    <w:multiLevelType w:val="hybridMultilevel"/>
    <w:tmpl w:val="0186F3D4"/>
    <w:lvl w:ilvl="0" w:tplc="CFB27C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240A8"/>
    <w:multiLevelType w:val="hybridMultilevel"/>
    <w:tmpl w:val="6CFA1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53536"/>
    <w:multiLevelType w:val="multilevel"/>
    <w:tmpl w:val="29E80C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1E"/>
    <w:rsid w:val="00251DA6"/>
    <w:rsid w:val="00AF0F1F"/>
    <w:rsid w:val="00D21770"/>
    <w:rsid w:val="00E67F3D"/>
    <w:rsid w:val="00EA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F59D8"/>
  <w15:chartTrackingRefBased/>
  <w15:docId w15:val="{05106053-EAF4-4B8D-BAC9-11FEC0CA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731E"/>
    <w:pPr>
      <w:tabs>
        <w:tab w:val="center" w:pos="4320"/>
        <w:tab w:val="right" w:pos="8640"/>
      </w:tabs>
    </w:pPr>
  </w:style>
  <w:style w:type="character" w:customStyle="1" w:styleId="HeaderChar">
    <w:name w:val="Header Char"/>
    <w:basedOn w:val="DefaultParagraphFont"/>
    <w:link w:val="Header"/>
    <w:rsid w:val="00EA731E"/>
    <w:rPr>
      <w:rFonts w:ascii="Times New Roman" w:eastAsia="Times New Roman" w:hAnsi="Times New Roman" w:cs="Times New Roman"/>
      <w:sz w:val="24"/>
      <w:szCs w:val="24"/>
    </w:rPr>
  </w:style>
  <w:style w:type="paragraph" w:styleId="Footer">
    <w:name w:val="footer"/>
    <w:basedOn w:val="Normal"/>
    <w:link w:val="FooterChar"/>
    <w:uiPriority w:val="99"/>
    <w:rsid w:val="00EA731E"/>
    <w:pPr>
      <w:tabs>
        <w:tab w:val="center" w:pos="4320"/>
        <w:tab w:val="right" w:pos="8640"/>
      </w:tabs>
    </w:pPr>
  </w:style>
  <w:style w:type="character" w:customStyle="1" w:styleId="FooterChar">
    <w:name w:val="Footer Char"/>
    <w:basedOn w:val="DefaultParagraphFont"/>
    <w:link w:val="Footer"/>
    <w:uiPriority w:val="99"/>
    <w:rsid w:val="00EA731E"/>
    <w:rPr>
      <w:rFonts w:ascii="Times New Roman" w:eastAsia="Times New Roman" w:hAnsi="Times New Roman" w:cs="Times New Roman"/>
      <w:sz w:val="24"/>
      <w:szCs w:val="24"/>
    </w:rPr>
  </w:style>
  <w:style w:type="character" w:styleId="PageNumber">
    <w:name w:val="page number"/>
    <w:basedOn w:val="DefaultParagraphFont"/>
    <w:rsid w:val="00EA731E"/>
  </w:style>
  <w:style w:type="paragraph" w:styleId="BodyText">
    <w:name w:val="Body Text"/>
    <w:basedOn w:val="Normal"/>
    <w:link w:val="BodyTextChar"/>
    <w:rsid w:val="00EA731E"/>
    <w:pPr>
      <w:spacing w:after="120"/>
    </w:pPr>
  </w:style>
  <w:style w:type="character" w:customStyle="1" w:styleId="BodyTextChar">
    <w:name w:val="Body Text Char"/>
    <w:basedOn w:val="DefaultParagraphFont"/>
    <w:link w:val="BodyText"/>
    <w:rsid w:val="00EA731E"/>
    <w:rPr>
      <w:rFonts w:ascii="Times New Roman" w:eastAsia="Times New Roman" w:hAnsi="Times New Roman" w:cs="Times New Roman"/>
      <w:sz w:val="24"/>
      <w:szCs w:val="24"/>
    </w:rPr>
  </w:style>
  <w:style w:type="paragraph" w:styleId="ListParagraph">
    <w:name w:val="List Paragraph"/>
    <w:basedOn w:val="Normal"/>
    <w:uiPriority w:val="34"/>
    <w:qFormat/>
    <w:rsid w:val="00EA73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BAD933-65CA-4CFE-B00B-C0A39B4F71E8}">
  <ds:schemaRefs>
    <ds:schemaRef ds:uri="http://schemas.openxmlformats.org/officeDocument/2006/bibliography"/>
  </ds:schemaRefs>
</ds:datastoreItem>
</file>

<file path=customXml/itemProps2.xml><?xml version="1.0" encoding="utf-8"?>
<ds:datastoreItem xmlns:ds="http://schemas.openxmlformats.org/officeDocument/2006/customXml" ds:itemID="{A81CA1B1-9264-4325-BD2F-BCE73305F9EC}"/>
</file>

<file path=customXml/itemProps3.xml><?xml version="1.0" encoding="utf-8"?>
<ds:datastoreItem xmlns:ds="http://schemas.openxmlformats.org/officeDocument/2006/customXml" ds:itemID="{6C80C02C-E5CF-4152-B626-BFB17FEDBA1B}"/>
</file>

<file path=customXml/itemProps4.xml><?xml version="1.0" encoding="utf-8"?>
<ds:datastoreItem xmlns:ds="http://schemas.openxmlformats.org/officeDocument/2006/customXml" ds:itemID="{1E7EBD51-0B8B-4748-BDBF-473AD361E74E}"/>
</file>

<file path=docProps/app.xml><?xml version="1.0" encoding="utf-8"?>
<Properties xmlns="http://schemas.openxmlformats.org/officeDocument/2006/extended-properties" xmlns:vt="http://schemas.openxmlformats.org/officeDocument/2006/docPropsVTypes">
  <Template>Normal</Template>
  <TotalTime>28</TotalTime>
  <Pages>7</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Marion County Oregon</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Glisson</dc:creator>
  <cp:keywords/>
  <dc:description/>
  <cp:lastModifiedBy>Theresa Darvell</cp:lastModifiedBy>
  <cp:revision>3</cp:revision>
  <cp:lastPrinted>2022-03-25T17:20:00Z</cp:lastPrinted>
  <dcterms:created xsi:type="dcterms:W3CDTF">2022-03-25T17:15:00Z</dcterms:created>
  <dcterms:modified xsi:type="dcterms:W3CDTF">2022-05-26T22:48:00Z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